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120"/>
        <w:jc w:val="center"/>
        <w:rPr>
          <w:rFonts w:ascii="Arial" w:hAnsi="Arial" w:eastAsia="Times New Roman" w:cs="Arial"/>
          <w:b/>
          <w:b/>
          <w:bCs/>
          <w:caps/>
          <w:color w:val="000000"/>
          <w:sz w:val="24"/>
          <w:szCs w:val="24"/>
          <w:lang w:eastAsia="pt-BR"/>
        </w:rPr>
      </w:pPr>
      <w:r>
        <w:rPr>
          <w:rFonts w:eastAsia="Times New Roman" w:cs="Arial" w:ascii="Arial" w:hAnsi="Arial"/>
          <w:b/>
          <w:bCs/>
          <w:caps/>
          <w:color w:val="000000"/>
          <w:sz w:val="24"/>
          <w:szCs w:val="24"/>
          <w:lang w:eastAsia="pt-BR"/>
        </w:rPr>
      </w:r>
    </w:p>
    <w:p>
      <w:pPr>
        <w:pStyle w:val="Normal"/>
        <w:pBdr>
          <w:top w:val="double" w:sz="4" w:space="12" w:color="000000"/>
          <w:bottom w:val="double" w:sz="4" w:space="12" w:color="000000"/>
        </w:pBdr>
        <w:spacing w:lineRule="auto" w:line="240" w:before="0" w:after="120"/>
        <w:jc w:val="center"/>
        <w:rPr>
          <w:rFonts w:ascii="Arial" w:hAnsi="Arial" w:cs="Arial"/>
          <w:b/>
          <w:b/>
          <w:bCs/>
          <w:sz w:val="24"/>
          <w:szCs w:val="24"/>
          <w:lang w:eastAsia="pt-BR"/>
        </w:rPr>
      </w:pPr>
      <w:r>
        <w:rPr>
          <w:rFonts w:cs="Arial" w:ascii="Arial" w:hAnsi="Arial"/>
          <w:b/>
          <w:bCs/>
          <w:sz w:val="24"/>
          <w:szCs w:val="24"/>
          <w:lang w:eastAsia="pt-BR"/>
        </w:rPr>
        <w:t xml:space="preserve">PREGÃO ELETRÔNICO Nº 044/2023 </w:t>
      </w:r>
    </w:p>
    <w:p>
      <w:pPr>
        <w:pStyle w:val="Normal"/>
        <w:pBdr>
          <w:top w:val="double" w:sz="4" w:space="12" w:color="000000"/>
          <w:bottom w:val="double" w:sz="4" w:space="12" w:color="000000"/>
        </w:pBdr>
        <w:spacing w:lineRule="auto" w:line="240" w:before="0" w:after="0"/>
        <w:jc w:val="center"/>
        <w:rPr>
          <w:rFonts w:ascii="Arial" w:hAnsi="Arial" w:cs="Arial"/>
          <w:sz w:val="24"/>
          <w:szCs w:val="24"/>
          <w:lang w:eastAsia="pt-BR"/>
        </w:rPr>
      </w:pPr>
      <w:r>
        <w:rPr>
          <w:rFonts w:cs="Arial" w:ascii="Arial" w:hAnsi="Arial"/>
          <w:sz w:val="24"/>
          <w:szCs w:val="24"/>
          <w:lang w:eastAsia="pt-BR"/>
        </w:rPr>
        <w:t>(Processo nº 0015706-85-2022.4.03.8001)</w:t>
      </w:r>
    </w:p>
    <w:p>
      <w:pPr>
        <w:pStyle w:val="Normal"/>
        <w:spacing w:lineRule="auto" w:line="240" w:before="0" w:after="120"/>
        <w:ind w:left="119" w:right="119" w:hanging="0"/>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r>
    </w:p>
    <w:p>
      <w:pPr>
        <w:pStyle w:val="Normal"/>
        <w:spacing w:lineRule="auto" w:line="240" w:before="0" w:after="240"/>
        <w:ind w:left="120" w:right="120" w:firstLine="447"/>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Torna-se público que a JUSTIÇA FEDERAL DE 1º GRAU EM SÃO PAULO, por meio da</w:t>
      </w:r>
      <w:r>
        <w:rPr>
          <w:rFonts w:cs="Arial" w:ascii="Arial" w:hAnsi="Arial"/>
          <w:sz w:val="24"/>
          <w:szCs w:val="24"/>
        </w:rPr>
        <w:t xml:space="preserve"> </w:t>
      </w:r>
      <w:r>
        <w:rPr>
          <w:rFonts w:eastAsia="Times New Roman" w:cs="Arial" w:ascii="Arial" w:hAnsi="Arial"/>
          <w:color w:val="000000"/>
          <w:sz w:val="24"/>
          <w:szCs w:val="24"/>
          <w:lang w:eastAsia="pt-BR"/>
        </w:rPr>
        <w:t xml:space="preserve">Subsecretaria de Compras, Licitações e Contratos - UCOL, sediada na </w:t>
      </w:r>
      <w:r>
        <w:rPr>
          <w:rFonts w:eastAsia="Times New Roman" w:cs="Arial" w:ascii="Arial" w:hAnsi="Arial"/>
          <w:sz w:val="24"/>
          <w:szCs w:val="24"/>
          <w:lang w:eastAsia="pt-BR"/>
        </w:rPr>
        <w:t>Rua Peixoto Gomide nº 768 - Jardim Paulista – São Paulo - SP</w:t>
      </w:r>
      <w:r>
        <w:rPr>
          <w:rFonts w:eastAsia="Times New Roman" w:cs="Arial" w:ascii="Arial" w:hAnsi="Arial"/>
          <w:b/>
          <w:sz w:val="24"/>
          <w:szCs w:val="24"/>
          <w:lang w:eastAsia="pt-BR"/>
        </w:rPr>
        <w:t xml:space="preserve">, </w:t>
      </w:r>
      <w:r>
        <w:rPr>
          <w:rFonts w:eastAsia="Times New Roman" w:cs="Arial" w:ascii="Arial" w:hAnsi="Arial"/>
          <w:sz w:val="24"/>
          <w:szCs w:val="24"/>
          <w:lang w:eastAsia="pt-BR"/>
        </w:rPr>
        <w:t>CEP 01409-903</w:t>
      </w:r>
      <w:r>
        <w:rPr>
          <w:rFonts w:eastAsia="Times New Roman" w:cs="Arial" w:ascii="Arial" w:hAnsi="Arial"/>
          <w:color w:val="000000"/>
          <w:sz w:val="24"/>
          <w:szCs w:val="24"/>
          <w:lang w:eastAsia="pt-BR"/>
        </w:rPr>
        <w:t>, realizará licitação, na modalidade PREGÃO, na forma ELETRÔNICA, nos termos da Lei nº 14.133/2021, demais normas aplicáveis e, ainda, de acordo com as condições estabelecidas neste Edital.</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themeColor="text1"/>
          <w:sz w:val="24"/>
          <w:szCs w:val="24"/>
          <w:lang w:eastAsia="pt-BR"/>
        </w:rPr>
        <w:t>VALOR TOTAL DA CONTRATAÇÃO</w:t>
      </w:r>
    </w:p>
    <w:p>
      <w:pPr>
        <w:pStyle w:val="Normal"/>
        <w:spacing w:lineRule="auto" w:line="240" w:before="0" w:after="120"/>
        <w:ind w:left="119" w:right="119" w:hanging="0"/>
        <w:jc w:val="both"/>
        <w:rPr>
          <w:rFonts w:ascii="Arial" w:hAnsi="Arial" w:eastAsia="Times New Roman" w:cs="Arial"/>
          <w:color w:val="000000" w:themeColor="text1"/>
          <w:sz w:val="24"/>
          <w:szCs w:val="24"/>
          <w:lang w:eastAsia="pt-BR"/>
        </w:rPr>
      </w:pPr>
      <w:r>
        <w:rPr>
          <w:rFonts w:eastAsia="Times New Roman" w:cs="Arial" w:ascii="Arial" w:hAnsi="Arial"/>
          <w:color w:val="000000" w:themeColor="text1"/>
          <w:sz w:val="24"/>
          <w:szCs w:val="24"/>
          <w:lang w:eastAsia="pt-BR"/>
        </w:rPr>
        <w:t>Orçamento estimado sigiloso, conforme justificativa apresentada no Estudo Técnico Preliminar.</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t>Nos termos dispostos no art. 12, § 1.º, da IN SEGES n.º 73/2022, o orçamento estimado para a contratação não será tornado público antes de definido o resultado do julgamento das propostas, observado o § 1º do art. 30 da referida Instrução Normativa.</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DATA DA SESSÃO PÚBLICA</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Dia </w:t>
      </w:r>
      <w:r>
        <w:rPr>
          <w:rFonts w:eastAsia="Times New Roman" w:cs="Arial" w:ascii="Arial" w:hAnsi="Arial"/>
          <w:color w:val="000000"/>
          <w:sz w:val="24"/>
          <w:szCs w:val="24"/>
          <w:lang w:eastAsia="pt-BR"/>
        </w:rPr>
        <w:t>07/11/2023</w:t>
      </w:r>
      <w:r>
        <w:rPr>
          <w:rFonts w:eastAsia="Times New Roman" w:cs="Arial" w:ascii="Arial" w:hAnsi="Arial"/>
          <w:color w:val="000000"/>
          <w:sz w:val="24"/>
          <w:szCs w:val="24"/>
          <w:lang w:eastAsia="pt-BR"/>
        </w:rPr>
        <w:t xml:space="preserve"> às </w:t>
      </w:r>
      <w:r>
        <w:rPr>
          <w:rFonts w:eastAsia="Times New Roman" w:cs="Arial" w:ascii="Arial" w:hAnsi="Arial"/>
          <w:color w:val="000000"/>
          <w:sz w:val="24"/>
          <w:szCs w:val="24"/>
          <w:lang w:eastAsia="pt-BR"/>
        </w:rPr>
        <w:t>13</w:t>
      </w:r>
      <w:r>
        <w:rPr>
          <w:rFonts w:eastAsia="Times New Roman" w:cs="Arial" w:ascii="Arial" w:hAnsi="Arial"/>
          <w:color w:val="000000"/>
          <w:sz w:val="24"/>
          <w:szCs w:val="24"/>
          <w:lang w:eastAsia="pt-BR"/>
        </w:rPr>
        <w:t>h (horário de Brasília)</w:t>
      </w:r>
    </w:p>
    <w:p>
      <w:pPr>
        <w:pStyle w:val="Normal"/>
        <w:spacing w:lineRule="auto" w:line="240" w:before="0" w:after="240"/>
        <w:ind w:left="120" w:right="120" w:hanging="0"/>
        <w:jc w:val="both"/>
        <w:rPr>
          <w:rStyle w:val="LinkdaInternet"/>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LOCAL: </w:t>
      </w:r>
      <w:r>
        <w:rPr>
          <w:rFonts w:eastAsia="Times New Roman" w:cs="Arial" w:ascii="Arial" w:hAnsi="Arial"/>
          <w:color w:val="000000"/>
          <w:sz w:val="24"/>
          <w:szCs w:val="24"/>
          <w:lang w:eastAsia="pt-BR"/>
        </w:rPr>
        <w:t xml:space="preserve">Portal de Compras do Governo Federal – </w:t>
      </w:r>
      <w:hyperlink r:id="rId2">
        <w:r>
          <w:rPr>
            <w:rStyle w:val="LinkdaInternet"/>
            <w:rFonts w:eastAsia="Times New Roman" w:cs="Arial" w:ascii="Arial" w:hAnsi="Arial"/>
            <w:sz w:val="24"/>
            <w:szCs w:val="24"/>
            <w:lang w:eastAsia="pt-BR"/>
          </w:rPr>
          <w:t>www.gov.br/compras/</w:t>
        </w:r>
      </w:hyperlink>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UASG:</w:t>
      </w:r>
      <w:r>
        <w:rPr>
          <w:rFonts w:eastAsia="Times New Roman" w:cs="Arial" w:ascii="Arial" w:hAnsi="Arial"/>
          <w:sz w:val="24"/>
          <w:szCs w:val="24"/>
          <w:lang w:eastAsia="pt-BR"/>
        </w:rPr>
        <w:t xml:space="preserve"> 090017</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CRITÉRIO DE JULGAMENTO: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themeColor="text1"/>
          <w:sz w:val="24"/>
          <w:szCs w:val="24"/>
          <w:lang w:eastAsia="pt-BR"/>
        </w:rPr>
        <w:t>Menor preço</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themeColor="text1"/>
          <w:sz w:val="24"/>
          <w:szCs w:val="24"/>
          <w:lang w:eastAsia="pt-BR"/>
        </w:rPr>
        <w:t>MODO DE DISPUTA:</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themeColor="text1"/>
          <w:sz w:val="24"/>
          <w:szCs w:val="24"/>
          <w:lang w:eastAsia="pt-BR"/>
        </w:rPr>
        <w:t>Aberto</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themeColor="text1"/>
          <w:sz w:val="24"/>
          <w:szCs w:val="24"/>
          <w:lang w:eastAsia="pt-BR"/>
        </w:rPr>
        <w:t>PARTICIPAÇÃO EXCLUSIVA ME/EPP/EQUIPARADAS</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w:t>
      </w:r>
    </w:p>
    <w:p>
      <w:pPr>
        <w:pStyle w:val="Normal"/>
        <w:spacing w:lineRule="auto" w:line="240" w:before="0" w:after="120"/>
        <w:ind w:left="119" w:right="119" w:firstLine="23"/>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DO OBJETO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objeto da presente licitação é a escolha da proposta mais vantajosa para a contratação de serviços de seguro de veículos conforme condições, quantidades e exigências estabelecidas neste Edital e seus anexos.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licitação será realizada em único item.</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cs="Arial" w:ascii="Arial" w:hAnsi="Arial"/>
          <w:color w:val="000000"/>
          <w:sz w:val="24"/>
          <w:szCs w:val="24"/>
        </w:rPr>
        <w:t>O critério de julgamento adotado será o menor preço do item, observadas as exigências contidas neste Edital e seus Anexos quanto às especificações do objeto.</w:t>
      </w:r>
    </w:p>
    <w:p>
      <w:pPr>
        <w:pStyle w:val="Normal"/>
        <w:spacing w:lineRule="auto" w:line="240" w:before="0" w:after="240"/>
        <w:ind w:left="120" w:right="120" w:hanging="0"/>
        <w:jc w:val="both"/>
        <w:rPr>
          <w:rFonts w:ascii="Arial" w:hAnsi="Arial" w:eastAsia="Times New Roman" w:cs="Arial"/>
          <w:color w:val="FF0000"/>
          <w:sz w:val="24"/>
          <w:szCs w:val="24"/>
          <w:lang w:eastAsia="pt-BR"/>
        </w:rPr>
      </w:pPr>
      <w:r>
        <w:rPr>
          <w:rFonts w:eastAsia="Times New Roman" w:cs="Arial" w:ascii="Arial" w:hAnsi="Arial"/>
          <w:color w:val="FF0000"/>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PARTICIPAÇÃO NA LICITAÇÃO</w:t>
      </w:r>
    </w:p>
    <w:p>
      <w:pPr>
        <w:pStyle w:val="ListParagraph"/>
        <w:numPr>
          <w:ilvl w:val="1"/>
          <w:numId w:val="1"/>
        </w:numPr>
        <w:spacing w:lineRule="auto" w:line="240" w:before="0" w:after="240"/>
        <w:ind w:left="0"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Poderão participar deste Pregão os interessados que estiverem previamente credenciados no Sistema de Cadastramento Unificado de Fornecedores - Sicaf e no Sistema de Compras do Governo Federal (</w:t>
      </w:r>
      <w:hyperlink r:id="rId3">
        <w:r>
          <w:rPr>
            <w:rStyle w:val="LinkdaInternet"/>
            <w:rFonts w:eastAsia="Times New Roman" w:cs="Arial" w:ascii="Arial" w:hAnsi="Arial"/>
            <w:sz w:val="24"/>
            <w:szCs w:val="24"/>
            <w:lang w:eastAsia="pt-BR"/>
          </w:rPr>
          <w:t>www.gov.br/compras</w:t>
        </w:r>
      </w:hyperlink>
      <w:r>
        <w:rPr>
          <w:rFonts w:eastAsia="Times New Roman" w:cs="Arial" w:ascii="Arial" w:hAnsi="Arial"/>
          <w:color w:val="000000"/>
          <w:sz w:val="24"/>
          <w:szCs w:val="24"/>
          <w:lang w:eastAsia="pt-BR"/>
        </w:rPr>
        <w:t>), por meio de Certificado Digital conferido pela Infraestrutura de Chaves Públicas Brasileira – ICP – Brasil.</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interessados deverão atender às condições exigidas no cadastramento no Sicaf até o terceiro dia útil anterior à data prevista para recebimento das propostas.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não observância do disposto no item anterior poderá ensejar desclassificação no momento da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poderão disputar esta licitação:</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aquele que não atenda às condições deste Edital e seu(s) anexo(s);</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autor do anteprojeto, do projeto básico ou do projeto executivo, pessoa física ou jurídica, quando a licitação versar sobre serviços ou fornecimento de bens a ele relacionados;</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 física ou jurídica que se encontre, ao tempo da licitação, impossibilitada de participar da licitação em decorrência de sanção que lhe foi imposta;</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empresas controladoras, controladas ou coligadas, nos termos da Lei nº 6.404, de 15 de dezembro de 1976, concorrendo entre si;</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agente público do órgão ou entidade licitante;</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pessoas jurídicas reunidas em consórcio;</w:t>
      </w:r>
    </w:p>
    <w:p>
      <w:pPr>
        <w:pStyle w:val="ListParagraph"/>
        <w:numPr>
          <w:ilvl w:val="2"/>
          <w:numId w:val="1"/>
        </w:numPr>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Organizações da Sociedade Civil de Interesse Público - OSCIP, atuando nessa condição;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 </w:t>
      </w:r>
      <w:r>
        <w:rPr>
          <w:rFonts w:eastAsia="Times New Roman" w:cs="Arial" w:ascii="Arial" w:hAnsi="Arial"/>
          <w:color w:val="000000"/>
          <w:sz w:val="24"/>
          <w:szCs w:val="24"/>
          <w:lang w:eastAsia="pt-BR"/>
        </w:rPr>
        <w:t>a vedação constante no subitem 2.5.11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critério da Administração e exclusivamente a seu serviço, o autor dos projetos e a empresa a que se referem os itens 2.5.2 e 2.5.3 poderão participar no apoio das atividades de planejamento da contratação, de execução da licitação ou de gestão do contrato, desde que sob supervisão exclusiva de agentes públicos do órgão ou entidade.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Equiparam-se aos autores do projeto as empresas integrantes do mesmo grupo econômico.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disposto nos itens 2.5.2 e 2.5.3 não impede a licitação ou a contratação de serviço que inclua como encargo do contratado a elaboração do projeto básico e do projeto executivo, nas contratações integradas, e do projeto executivo, nos demais regimes de execução.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vedação de que trata o item 2.5.8 estende-se a terceiro que auxilie a condução da contratação na qualidade de integrante de equipe de apoio, profissional especializado ou funcionário ou representante de empresa que preste assessoria técnica.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Cooperativas não poderão disputar esta licitação, conforme justificativa apresentada no Estudo Técnico Preliminar.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será permitida a participação de Microempresas e Empresas de Pequeno Porte por expressa vedação legal, conforme artigo 3º, parágrafo 4º, inciso VIII, da Lei Complementar nº 123/2006, que proíbe o tratamento jurídico diferenciado a empresas que exerçam atividade de seguros.</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APRESENTAÇÃO DA PROPOSTA E DOS DOCUMENTOS DE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presente licitação, a fase de habilitação sucederá as fases de apresentação de propostas e lances e de julgamento.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Caso a fase de habilitação anteceda as fases de apresentação de propostas e lances e de julgamento, os licitantes encaminharão, na forma e no prazo estabelecidos no item anterior, simultaneamente os documentos de habilitação e a proposta com o preço ou o percentual de desconto, observado o disposto nos itens </w:t>
      </w:r>
      <w:r>
        <w:rPr>
          <w:rFonts w:eastAsia="Times New Roman" w:cs="Arial" w:ascii="Arial" w:hAnsi="Arial"/>
          <w:sz w:val="24"/>
          <w:szCs w:val="24"/>
          <w:lang w:eastAsia="pt-BR"/>
        </w:rPr>
        <w:t>7.1.1 e 7.12 deste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cadastramento da proposta inicial, o licitante declarará, em campo próprio do sistema, que: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e que cumpre os requisitos de habilitação definidos no instrumento convocatório;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emprega menor de 18 anos em trabalho noturno, perigoso ou insalubre e não emprega menor de 16 anos, salvo menor, a partir de 14 anos, na condição de aprendiz, nos termos do artigo 7°, XXXIII, da Constituição;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possui empregados executando trabalho degradante ou forçado, observando o disposto nos incisos III e IV do art. 1º e no inciso III do art. 5º da Constituição Federal;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cumpre as exigências de reserva de cargos para pessoa com deficiência e para reabilitado da Previdência Social, previstas em lei e em outras normas específicas.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falsidade da declaração de que trata o item 3.4 sujeitará o licitante às sanções previstas na Lei nº 14.133/2021 e neste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Serão disponibilizados para acesso público os documentos que compõem a proposta dos licitantes convocados para apresentação de propostas, após a fase de envio de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Desde que disponibilizada a funcionalidade no sistema, o licitante poderá parametrizar o seu valor final mínimo ou o seu percentual de desconto final máximo quando do cadastramento da proposta e obedecerá às seguintes regras: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aplicação do intervalo mínimo de diferença de valores ou de percentuais entre os lances, que incidirá tanto em relação aos lances intermediários quanto em relação ao lance que cobrir a melhor oferta;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lances serão de envio automático pelo sistema, respeitado o valor final mínimo estabelecido e o intervalo de que trata o subitem acima.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valor final mínimo ou o percentual de desconto final máximo parametrizado no sistema poderá ser alterado pelo fornecedor durante a fase de disputa, sendo vedado: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valor superior a lance já registrado pelo fornecedor no sistema, quando adotado o critério de julgamento por menor preço;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percentual de desconto inferior a lance já registrado pelo fornecedor no sistema, quando adotado o critério de julgamento por maior desconto.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valor final mínimo ou o percentual de desconto final máximo parametrizado na forma do item 3.9 possuirá caráter sigiloso para os demais fornecedores e para a unidade gestora promotora da licitação, podendo ser disponibilizado estrita e permanentemente aos órgãos de controle externo e interno.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deverá comunicar imediatamente ao provedor do sistema qualquer acontecimento que possa comprometer o sigilo ou a segurança, para imediato bloqueio de acesso.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DO PREENCHIMENTO DA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deverá enviar sua proposta mediante o preenchimento, no sistema eletrônico, dos seguintes campos: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Valor unitário do item, correspondente </w:t>
      </w:r>
      <w:r>
        <w:rPr>
          <w:rFonts w:eastAsia="Times New Roman" w:cs="Arial" w:ascii="Arial" w:hAnsi="Arial"/>
          <w:b/>
          <w:bCs/>
          <w:sz w:val="24"/>
          <w:szCs w:val="24"/>
          <w:lang w:eastAsia="pt-BR"/>
        </w:rPr>
        <w:t>ao valor do prêmio líquido total</w:t>
      </w:r>
      <w:r>
        <w:rPr>
          <w:rFonts w:eastAsia="Times New Roman" w:cs="Arial" w:ascii="Arial" w:hAnsi="Arial"/>
          <w:sz w:val="24"/>
          <w:szCs w:val="24"/>
          <w:lang w:eastAsia="pt-BR"/>
        </w:rPr>
        <w:t>;</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preço </w:t>
      </w:r>
      <w:r>
        <w:rPr>
          <w:rFonts w:eastAsia="Times New Roman" w:cs="Arial" w:ascii="Arial" w:hAnsi="Arial"/>
          <w:color w:val="000000"/>
          <w:sz w:val="24"/>
          <w:szCs w:val="24"/>
          <w:lang w:eastAsia="pt-BR"/>
        </w:rPr>
        <w:t>ofertado</w:t>
      </w:r>
      <w:r>
        <w:rPr>
          <w:rFonts w:eastAsia="Times New Roman" w:cs="Arial" w:ascii="Arial" w:hAnsi="Arial"/>
          <w:sz w:val="24"/>
          <w:szCs w:val="24"/>
          <w:lang w:eastAsia="pt-BR"/>
        </w:rPr>
        <w:t xml:space="preserve"> deverá abranger o valor do prêmio líquido total, já deduzidos os descontos e acrescido do custo da apólice, correspondendo, portanto, ao custo total da contratação do seguro.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preços apresentados deverão ter alíquota zero de IOF, nos termos do art. 2º, § 3º do Decreto 6.306/2007.</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Descrição do objeto, contendo as informações similares à especificação do Termo de Referência;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Todas as especificações do objeto contidas na proposta vinculam o licitante.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Independentemente do percentual de tributo inserido na planilha, no pagamento serão retidos na fonte os percentuais estabelecidos na legislação vigente.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de validade da proposta não será inferior a </w:t>
      </w:r>
      <w:r>
        <w:rPr>
          <w:rFonts w:eastAsia="Times New Roman" w:cs="Arial" w:ascii="Arial" w:hAnsi="Arial"/>
          <w:b/>
          <w:bCs/>
          <w:color w:val="000000"/>
          <w:sz w:val="24"/>
          <w:szCs w:val="24"/>
          <w:u w:val="single"/>
          <w:lang w:eastAsia="pt-BR"/>
        </w:rPr>
        <w:t>60 (sessenta) dias</w:t>
      </w:r>
      <w:r>
        <w:rPr>
          <w:rFonts w:eastAsia="Times New Roman" w:cs="Arial" w:ascii="Arial" w:hAnsi="Arial"/>
          <w:color w:val="000000"/>
          <w:sz w:val="24"/>
          <w:szCs w:val="24"/>
          <w:lang w:eastAsia="pt-BR"/>
        </w:rPr>
        <w:t>, a contar da data limite para sua apresentação.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devem respeitar os preços máximos estabelecidos nas normas de regência de contratações públicas federais, quando participarem de licitações públicas.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o critério de julgamento seja o de maior desconto, o preço já decorrente da aplicação do desconto ofertado deverá respeitar os preços máximos conforme previsto no item 4.9.</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DA ABERTURA DA SESSÃO, CLASSIFICAÇÃO DAS PROPOSTAS E FORMULAÇÃO DE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abertura da presente licitação dar-se-á automaticamente em sessão pública, por meio de sistema eletrônico, na data, horário e local indicados neste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licitantes poderão retirar ou substituir a proposta ou os documentos de habilitação, quando for o caso, anteriormente inseridos no sistema, até a abertura da sessão pública.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sistema disponibilizará campo próprio para troca de mensagens entre o Pregoeiro e os licitantes.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lance deverá ser ofertado pelo valor unitário do item.</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licitantes poderão oferecer lances sucessivos, observando o horário fixado para abertura da sessão e as regras estabelecidas no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somente poderá oferecer lance de valor inferior ou percentual de desconto superior ao último por ele ofertado e registrado pelo sistema, observado o intervalo mínimo de diferença de valores ou de percentuais entre os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intervalo mínimo de diferença de valores ou de percentuais entre os lances, que incidirá tanto em relação aos lances intermediários quanto em relação à proposta que cobrir a melhor oferta deverá ser de </w:t>
      </w:r>
      <w:r>
        <w:rPr>
          <w:rFonts w:eastAsia="Times New Roman" w:cs="Arial" w:ascii="Arial" w:hAnsi="Arial"/>
          <w:b/>
          <w:bCs/>
          <w:sz w:val="24"/>
          <w:szCs w:val="24"/>
          <w:lang w:eastAsia="pt-BR"/>
        </w:rPr>
        <w:t>R$ 1.500,00 (um mil e quinhentos reais)</w:t>
      </w:r>
      <w:r>
        <w:rPr>
          <w:rFonts w:eastAsia="Times New Roman" w:cs="Arial" w:ascii="Arial" w:hAnsi="Arial"/>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poderá, uma única vez, excluir seu último lance ofertado, no intervalo de quinze segundos após o registro no sistema, na hipótese de lance inconsistente ou inexequível.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pregoeiro poderá, durante a disputa, como medida excepcional, excluir a proposta ou o lance que possa comprometer, restringir ou frustrar o caráter competitivo do processo licitatório, mediante comunicação eletrônica automática via sistema (art. 21, § 4º, da Instrução Normativa SEGES nº 73/2022).</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Eventual</w:t>
      </w:r>
      <w:r>
        <w:rPr>
          <w:rFonts w:eastAsia="Times New Roman" w:cs="Arial" w:ascii="Arial" w:hAnsi="Arial"/>
          <w:sz w:val="24"/>
          <w:szCs w:val="24"/>
          <w:lang w:eastAsia="pt-BR"/>
        </w:rPr>
        <w:t xml:space="preserve"> exclusão de proposta do licitante, de que trata o subitem anterior, implica a retirada do licitante do certame, sem prejuízo do direito de defesa.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procedimento seguirá de acordo com o modo de disputa adotado.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seja adotado para o envio de lances no pregão eletrônico o modo de disputa “aberto”, os licitantes apresentarão lances públicos e sucessivos, com prorrogações, conforme o critério de julgamento adotado neste Edital.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havendo novos lances na forma estabelecida nos itens anteriores, a sessão pública encerrar-se-á automaticamente, e o sistema ordenará e divulgará os lances conforme a ordem final de classificação.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o reinício previsto no item supra, os licitantes serão convocados para apresentar lances intermediários.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Encerrados os prazos estabelecidos nos itens anteriores, o sistema ordenará e divulgará os lances segundo a ordem crescente de valores quando adotado o critério de julgamento por menor preço ou na ordem decrescente, quando adotado o critério de julgamento por maior desconto.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seja adotado para o envio de lances no pregão eletrônico o modo de disputa “aberto e fechado”, os licitantes apresentarão lances públicos e sucessivos, com lance final e fechado, conforme o critério de julgamento adotado neste Edital.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etapa de envio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procedimento de que trata o subitem supra, o licitante poderá optar por manter o seu último lance da etapa aberta, ou por ofertar melhor lance.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o término dos prazos estabelecidos nos itens anteriores, o sistema ordenará e divulgará os lances conforme disposto no subitem 5.12.6.</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seja adotado para o envio de lances no pregão eletrônico o modo de disputa “fechado e aberto”, poderão participar da etapa aberta somente os licitantes que apresentarem a proposta de menor preço ou maior percentual de desconto e os das propostas até 10% (dez por cento) superiores ou inferiores àquela, em que os licitantes apresentarão lances públicos e sucessivos, até o encerramento da sessão e eventuais prorrogações, conforme o critério de julgamento adotado neste Edital.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havendo pelo menos 3 (três) propostas nas condições definidas no item 5.14, poderão os licitantes que apresentaram as três melhores propostas, consideradas as empatadas, oferecer novos lances sucessivos.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havendo novos lances na forma estabelecida nos itens anteriores, a sessão pública encerrar-se-á automaticamente, e o sistema ordenará e divulgará os lances conforme a ordem final de classificação.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o reinício previsto no subitem supra, os licitantes serão convocados para apresentar lances intermediários.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o término dos prazos estabelecidos nos subitens anteriores, o sistema ordenará e divulgará os lances conforme disposto no subitem 5.12.6.</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serão aceitos dois ou mais lances de mesmo valor, prevalecendo aquele que for recebido e registrado em primeiro lugar.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Durante o transcurso da sessão pública, os licitantes serão informados, em tempo real, do valor do menor lance registrado, vedada a identificação do licitante.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caso de desconexão com o Pregoeiro, no decorrer da etapa competitiva do pregão, o sistema eletrônico poderá permanecer acessível aos licitantes para a recepção dos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licitante não apresente lances, concorrerá com o valor de sua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Só poderá haver empate entre propostas iguais (não seguidas de lances), ou entre lances finais da fase fechada do modo de disputa aberto e fechado.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Havendo eventual empate entre propostas ou lances, o critério de desempate será aquele previsto no art. 60 da Lei nº 14.133/2021, nesta ordem:</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w:t>
      </w:r>
      <w:r>
        <w:rPr>
          <w:rFonts w:eastAsia="Times New Roman" w:cs="Arial" w:ascii="Arial" w:hAnsi="Arial"/>
          <w:color w:val="000000"/>
          <w:sz w:val="24"/>
          <w:szCs w:val="24"/>
          <w:lang w:eastAsia="pt-BR"/>
        </w:rPr>
        <w:t>isputa</w:t>
      </w:r>
      <w:r>
        <w:rPr>
          <w:rFonts w:eastAsia="Times New Roman" w:cs="Arial" w:ascii="Arial" w:hAnsi="Arial"/>
          <w:sz w:val="24"/>
          <w:szCs w:val="24"/>
          <w:lang w:eastAsia="pt-BR"/>
        </w:rPr>
        <w:t xml:space="preserve"> final, hipótese em que os licitantes empatados poderão apresentar nova proposta em ato contínuo à classificação;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avaliação do desempenho contratual prévio dos licitantes, para a qual deverão preferencialmente ser utilizados registros cadastrais para efeito de atesto de cumprimento de obrigações previstos na Lei nº 14.133/2021;</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desenvolvimento pelo licitante de ações de equidade entre homens e mulheres no ambiente de trabalho, conforme disposto no art. 8º da Resolução nº 497, de 14 de abril de 2023, do Conselho Nacional de Justiça - CNJ.</w:t>
      </w:r>
    </w:p>
    <w:p>
      <w:pPr>
        <w:pStyle w:val="ListParagraph"/>
        <w:numPr>
          <w:ilvl w:val="4"/>
          <w:numId w:val="1"/>
        </w:numPr>
        <w:tabs>
          <w:tab w:val="clear" w:pos="567"/>
          <w:tab w:val="left" w:pos="2552" w:leader="none"/>
        </w:tabs>
        <w:spacing w:lineRule="auto" w:line="240" w:before="0" w:after="240"/>
        <w:ind w:left="1418"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Para fins do disposto no subitem anterior, serão consideradas ações de equidade, respeitada a seguinte ordem:</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a) medidas de inserção, de participação e de ascensão profissional igualitária entre mulheres e homens, incluída a proporção de mulheres em cargos de direção do licitante;</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b) ações de promoção da igualdade de oportunidades e de tratamento entre mulheres e homens em matéria de emprego e ocupação;</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c) igualdade de remuneração e paridade salarial entre mulheres e homens;</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d) práticas de prevenção e de enfrentamento do assédio moral e sexual;</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e) programas destinados à equidade de gênero e de raça; e</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f) ações em saúde e segurança do trabalho que considerem as diferenças entre os gêneros.</w:t>
      </w:r>
    </w:p>
    <w:p>
      <w:pPr>
        <w:pStyle w:val="ListParagraph"/>
        <w:numPr>
          <w:ilvl w:val="4"/>
          <w:numId w:val="1"/>
        </w:numPr>
        <w:tabs>
          <w:tab w:val="clear" w:pos="567"/>
          <w:tab w:val="left" w:pos="2552" w:leader="none"/>
        </w:tabs>
        <w:spacing w:lineRule="auto" w:line="240" w:before="0" w:after="240"/>
        <w:ind w:left="1418"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deverá comprovar a ação de equidade considerada para efeito de critério desempate mediante declaração formal do represente legal da empresa ou outro documento idôneo.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desenvolvimento pelo licitante de programa de integridade, conforme orientações dos órgãos de controle.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Persistindo o empate, será assegurada preferência, sucessivamente, aos bens e serviços produzidos ou prestados por:</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brasileiras;</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que invistam em pesquisa e no desenvolvimento de tecnologia no País;</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que comprovem a prática de mitigação, nos termos da Lei nº 12.187, de 29 de dezembro de 2009.</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negociação será realizada exclusivamente por meio do sistema, podendo ser acompanhada pelos demais licitantes.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resultado da negociação será divulgado a todos os licitantes e anexado aos autos do processo licitatório.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sem prejuízo do disposto no subitem 6.11.</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É facultado ao pregoeiro prorrogar o prazo estabelecido, a partir de solicitação fundamentada feita no chat pelo licitante, antes de findo o prazo.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a negociação do preço, o pregoeiro iniciará a fase de aceitação e julgamento da proposta.</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FASE </w:t>
      </w:r>
      <w:r>
        <w:rPr>
          <w:rFonts w:eastAsia="Times New Roman" w:cs="Arial" w:ascii="Arial" w:hAnsi="Arial"/>
          <w:b/>
          <w:bCs/>
          <w:sz w:val="24"/>
          <w:szCs w:val="24"/>
          <w:lang w:eastAsia="pt-BR"/>
        </w:rPr>
        <w:t>DE</w:t>
      </w:r>
      <w:r>
        <w:rPr>
          <w:rFonts w:eastAsia="Times New Roman" w:cs="Arial" w:ascii="Arial" w:hAnsi="Arial"/>
          <w:b/>
          <w:bCs/>
          <w:color w:val="000000"/>
          <w:sz w:val="24"/>
          <w:szCs w:val="24"/>
          <w:lang w:eastAsia="pt-BR"/>
        </w:rPr>
        <w:t xml:space="preserve"> JULGAMENTO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Encerrada</w:t>
      </w:r>
      <w:r>
        <w:rPr>
          <w:rFonts w:eastAsia="Times New Roman" w:cs="Arial" w:ascii="Arial" w:hAnsi="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Lei nº 14.133/2021, na legislação correlata e no item 2.5 do Edital, especialmente quanto à existência de sanção que impeça a participação no certame ou a futura contratação, mediante a consulta aos seguintes cadastros:</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Sicaf;</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b) Cadastro Nacional de Empresas Inidôneas e Suspensas - CEIS, mantido pela Controladoria-Geral da União;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 Cadastro Nacional de Empresas Punidas – CNEP, mantido pela Controladoria-Geral da União;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 Cadastro Nacional de Condenações Cíveis por Atos de Improbidade Administrativa, mantido pelo Conselho Nacional de Justiça;</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 Lista de Inidôneos mantida pelo Tribunal de Contas da União - TCU.</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 </w:t>
      </w:r>
      <w:r>
        <w:rPr>
          <w:rFonts w:eastAsia="Times New Roman" w:cs="Arial" w:ascii="Arial" w:hAnsi="Arial"/>
          <w:sz w:val="24"/>
          <w:szCs w:val="24"/>
          <w:lang w:eastAsia="pt-BR"/>
        </w:rPr>
        <w:t>consulta</w:t>
      </w:r>
      <w:r>
        <w:rPr>
          <w:rFonts w:eastAsia="Times New Roman" w:cs="Arial" w:ascii="Arial" w:hAnsi="Arial"/>
          <w:color w:val="000000"/>
          <w:sz w:val="24"/>
          <w:szCs w:val="24"/>
          <w:lang w:eastAsia="pt-BR"/>
        </w:rPr>
        <w:t xml:space="preserve"> de fornecedores pessoa jurídica poderá haver a substituição das consultas das alíneas “b”, “c” “d” e "e" acima pela Consulta Consolidada de Pessoa Jurídica do TCU.</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w:t>
      </w:r>
      <w:r>
        <w:rPr>
          <w:rFonts w:eastAsia="Times New Roman" w:cs="Arial" w:ascii="Arial" w:hAnsi="Arial"/>
          <w:sz w:val="24"/>
          <w:szCs w:val="24"/>
          <w:lang w:eastAsia="pt-BR"/>
        </w:rPr>
        <w:t>consulta</w:t>
      </w:r>
      <w:r>
        <w:rPr>
          <w:rFonts w:eastAsia="Times New Roman" w:cs="Arial" w:ascii="Arial" w:hAnsi="Arial"/>
          <w:color w:val="000000"/>
          <w:sz w:val="24"/>
          <w:szCs w:val="24"/>
          <w:lang w:eastAsia="pt-BR"/>
        </w:rPr>
        <w:t xml:space="preserve"> aos cadastros será realizada em nome da pessoa física ou da empresa licitante e também de seu sócio majoritário, por força da vedação de que trata o artigo 12 da Lei n° 8.429/1992.</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Para o caso de empresa que possua sócios igualitários (50%), as consultas dos sites citados no item 6.2 serão realizadas para ambos.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tentativa de burla será verificada por meio dos vínculos societários, linhas de fornecimento similares, dentre outros. (IN nº 3/2018, art. 29, §1º).</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será convocado para manifestação previamente a uma eventual desclassificação (IN nº 3/2018, art. 29, §2º).</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Constatada a existência de sanção, o licitante será reputado inabilitado, por falta de condição de participação.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inversão das fases de habilitação e julgamento, caso atendidas as condições de participação, será iniciado o procedimento de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o licitante provisoriamente classificado em primeiro lugar tenha se utilizado de algum tratamento favorecido às ME/EPPs, o pregoeiro desclassificará a proposta por ausência de condições de participação, conforme disposto no item 2.13.</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73/2022.</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desclassificada a proposta mais bem classificada que: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contiver vícios insanáveis;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obedecer às especificações técnicas contidas no Termo de Referência;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preços inexequíveis ou permanecerem acima do preço máximo definido para a contratação;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tiverem sua exequibilidade demonstrada, quando exigido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desconformidade com quaisquer outras exigências deste Edital ou seus anexos, desde que insanável.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bens e serviços em geral, é indício de inexequibilidade das propostas valores inferiores a 50% (cinquenta por cento) do valor orçado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inexequibilidade, na hipótese de que trata o caput, só será considerada após diligência do pregoeiro, que comprove:</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que</w:t>
      </w:r>
      <w:r>
        <w:rPr>
          <w:rFonts w:eastAsia="Times New Roman" w:cs="Arial" w:ascii="Arial" w:hAnsi="Arial"/>
          <w:color w:val="000000"/>
          <w:sz w:val="24"/>
          <w:szCs w:val="24"/>
          <w:lang w:eastAsia="pt-BR"/>
        </w:rPr>
        <w:t xml:space="preserve"> o custo do licitante ultrapassa o valor da proposta; e</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inexistirem custos de oportunidade capazes de justificar o vulto da oferta.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Erros no preenchimento da planilha não constituem motivo para a desclassificação da proposta. A planilha poderá́ ser ajustada pelo licitante, no prazo previsto no subitem 5.22.4, desde que não haja majoração do preço e que se comprove que este é o bastante para arcar com todos os custos da contratação.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estabelecido no subitem 6.11 poderá ser prorrogado, se houver justificativa para tanto, desde que a solicitação escrita seja formulada antes do seu término.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ajuste de que trata este dispositivo se limita a sanar erros ou falhas que não alterem a substância das propostas.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pregoeiro, durante a fase de julgamento das propostas, pode solicitar documento ausente, comprobatório de condição atendida pelo fornecedor quando apresentou sua proposta, com fundamento nos Acórdãos TCU 1211/2021 e 2443/2021, artigo 5º da Lei nº 14.133/2021 e artigo 19 do Decreto n.º 9.830/2019.</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o Termo de Referência exija a apresentação de amostra, o licitante classificado em primeiro lugar deverá apresentá-la, conforme disciplinado no Termo de Referência, sob pena de não aceitação da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Por meio de mensagem no sistema, será divulgado o local e horário de realização do procedimento para a avaliação das amostras, cuja presença será facultada a todos os interessados, incluindo os demais licitantes.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resultados das avaliações serão divulgados por meio de mensagem no sistema.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não haver entrega da amostra ou ocorrer atraso na entrega, sem justificativa aceita pelo Pregoeiro, ou havendo entrega de amostra fora das especificações previstas neste Edital, a proposta do licitante será recusada.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Encerrada a fase de julgamento, após a verificação de conformidade da proposta, será examinada a documentação de habilitação do licitante observado o disposto no item 7 deste Edital.</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FASE DE HABILITAÇÃO </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previstos no Anexo II – Documentação exigida para habilitação, necessários e suficientes para demonstrar a capacidade do licitante de realizar o objeto da licitação, serão exigidos para fins de habilitação, nos termos dos arts. 62 a 70 da Lei nº 14.133/2021.</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documentação exigida para fins de habilitação jurídica, fiscal, social e trabalhista e econômico-ﬁnanceira, poderá ser substituída pelo registro cadastral no Sicaf.</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havendo a comprovação cumulativa dos requisitos de habilitação, a inabilitação recairá sobre o(s) item(ns) de menor(es) valor(es) cuja retirada(s) seja(m) suficiente(s) para a habilitação do licitante nos remanescentes.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disposto nos subitens 7.4 e 7.4.1 só se aplica nas licitações por itens, e desde que o edital exija comprovação de capital mínimo ou patrimônio líquido, para fins de qualificação econômico-financeira, ou comprovação de aptidão, para fins de qualificação técnica.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fins de habilitação serão apresentados em formato digital.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do subitem 7.6.1, o licitante será convocado a apresentar os documentos originais não-digitais no prazo de 5 (cinco) dias úteis, contados da convocação. Caberá ao agente administrativo comparar o documento original e a cópia para atestar a autenticidade.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fins de habilitação poderão ser substituídos por registro cadastral emitido por órgão ou entidade pública, desde que o registro tenha sido feito em obediência ao disposto na Lei nº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verificado se o licitante apresentou declaração de que atende aos requisitos de habilitação, e o declarante responderá pela veracidade das informações prestadas, na forma da Lei (art. 63, I, da Lei nº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Considerando que, na presente contratação, a avaliação prévia do </w:t>
      </w:r>
      <w:r>
        <w:rPr>
          <w:rFonts w:eastAsia="Times New Roman" w:cs="Arial" w:ascii="Arial" w:hAnsi="Arial"/>
          <w:color w:val="000000"/>
          <w:sz w:val="24"/>
          <w:szCs w:val="24"/>
          <w:lang w:eastAsia="pt-BR"/>
        </w:rPr>
        <w:t>local</w:t>
      </w:r>
      <w:r>
        <w:rPr>
          <w:rFonts w:eastAsia="Times New Roman" w:cs="Arial" w:ascii="Arial" w:hAnsi="Arial"/>
          <w:sz w:val="24"/>
          <w:szCs w:val="24"/>
          <w:lang w:eastAsia="pt-BR"/>
        </w:rPr>
        <w:t xml:space="preserve">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que optar por realizar vistoria prévia terá disponibilizado pela Administração data e horário exclusivos, a ser agendado, conforme disposto no Termo de Referência, de modo que seu agendamento não coincida com o agendamento de outros licitantes.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licitante opte por não realizar vistoria, poderá substituir a declaração exigida no presente item por declaração formal assinada pelo seu responsável técnico ou pelo seu representante legal acerca do conhecimento pleno das condições e peculiaridades da 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habilitação será verificada por meio do Sicaf, nos documentos por ele abrangidos, e dos documentos arrolados no Anexo II – Documentação exigida para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não observância do disposto no item anterior poderá ensejar desclassificação no momento da habilitação. (IN nº 3/2018, art. 7º, parágrafo único).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verificação pelo pregoeiro, em sítios eletrônicos oficiais de órgãos e entidades emissores de certidões constitui meio legal de prova, para fins de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certidões que condicionem sua validade à apresentação de certidão de dívida ativa somente serão aceitas se apresentadas em conjunto.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as certidões não trouxerem expresso o prazo de validade, considerar-se-á o prazo de 06 (seis) meses da data da sua expedição.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serão aceitos documentos com indicação de CPF/CNPJ diferentes, salvo aqueles legalmente permitidos.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habilitação que não estejam contemplados no Sicaf serão enviados por meio do sistema, em formato digital, no prazo de 2 horas, prorrogável por igual período, contado da solicitação do pregoeiro.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facultado ao pregoeiro prorrogar o prazo estabelecido, a partir de solicitação fundamentada feita no chat pelo licitante, antes de findo o prazo.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a fase de habilitação anteceder a fase de apresentação de propostas e lances e de julgamento, os licitantes encaminharão, por meio do sistema, simultaneamente os documentos de habilitação e a proposta com o preço ou o percentual de desconto, observado o disposto no § 1º do art. 36 e no § 1º do art. 39 da Instrução Normativa SEGES nº 73/2022.</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verificação no Sicaf ou a exigência dos documentos nele não contidos somente será feita em relação ao licitante mais bem classificado.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relativos à regularidade fiscal que constem do Anexo II – Documentação exigida para habilitação somente serão exigidos, em qualquer caso, em momento posterior ao julgamento das propostas, e apenas do licitante mais bem classificado.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Respeitada a exceção do subitem 7.19.1, relativa à regularidade fiscal, quando a fase de habilitação anteceder as fases de apresentação de propostas e lances e de julgamento, a verificação ou exigência do presente subitem ocorrerá em relação a todos os licitantes.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Após a entrega dos documentos para habilitação, não será permitida a substituição ou a apresentação de novos documentos, salvo em sede de diligência, para (Lei 14.133/2021, art. 64, e IN 73/2022, art. 39, §4º), sem prejuízo do disposto </w:t>
      </w:r>
      <w:r>
        <w:rPr>
          <w:rFonts w:eastAsia="Times New Roman" w:cs="Arial" w:ascii="Arial" w:hAnsi="Arial"/>
          <w:sz w:val="24"/>
          <w:szCs w:val="24"/>
          <w:lang w:eastAsia="pt-BR"/>
        </w:rPr>
        <w:t>no subitem 8.26:</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complementação de informações acerca dos documentos já apresentados pelos licitantes e desde que necessária para apurar fatos existentes à época da abertura do certame;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atualização de documentos cuja validade tenha expirado após a data de recebimento das propostas;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7.18.</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a fase de habilitação anteceder a de julgamento e já tiver sido encerrada, não caberá exclusão de licitante por motivo relacionado à habilitação, salvo em razão de fatos supervenientes ou só conhecidos após o julgamento.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pregoeiro, durante o exame da fase de habilitação, pode solicitar documento ausente, comprobatório de condição atendida pelo fornecedor quando apresentou sua proposta, com fundamento nos Acórdãos TCU 1211/2021 e 2443/2021, artigo 5º da Lei nº 14.133/2021 e artigo 19 do Decreto n.º 9.830/2019.</w:t>
      </w:r>
    </w:p>
    <w:p>
      <w:pPr>
        <w:pStyle w:val="ListParagraph"/>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 xml:space="preserve">DOS </w:t>
      </w:r>
      <w:r>
        <w:rPr>
          <w:rFonts w:eastAsia="Times New Roman" w:cs="Arial" w:ascii="Arial" w:hAnsi="Arial"/>
          <w:b/>
          <w:bCs/>
          <w:color w:val="000000"/>
          <w:sz w:val="24"/>
          <w:szCs w:val="24"/>
          <w:lang w:eastAsia="pt-BR"/>
        </w:rPr>
        <w:t>RECURSOS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w:t>
      </w:r>
      <w:r>
        <w:rPr>
          <w:rFonts w:eastAsia="Times New Roman" w:cs="Arial" w:ascii="Arial" w:hAnsi="Arial"/>
          <w:sz w:val="24"/>
          <w:szCs w:val="24"/>
          <w:lang w:eastAsia="pt-BR"/>
        </w:rPr>
        <w:t xml:space="preserve">interposição de </w:t>
      </w:r>
      <w:r>
        <w:rPr>
          <w:rFonts w:eastAsia="Times New Roman" w:cs="Arial" w:ascii="Arial" w:hAnsi="Arial"/>
          <w:color w:val="000000"/>
          <w:sz w:val="24"/>
          <w:szCs w:val="24"/>
          <w:lang w:eastAsia="pt-BR"/>
        </w:rPr>
        <w:t>recurso referente ao julgamento das propostas, à habilitação ou inabilitação de licitantes, à anulação ou revogação da licitação, observará o disposto no art. 165 da Lei nº 14.133/2021 e no art. 40 da Instrução Normativa SEGES nº 73/2022.</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recursal é de 3 (três) dias úteis, contados da data de intimação ou de lavratura da ata.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o recurso apresentado impugnar o julgamento das propostas ou o ato de habilitação ou inabilitação do licitante: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 intenção de </w:t>
      </w:r>
      <w:r>
        <w:rPr>
          <w:rFonts w:eastAsia="Times New Roman" w:cs="Arial" w:ascii="Arial" w:hAnsi="Arial"/>
          <w:color w:val="000000"/>
          <w:sz w:val="24"/>
          <w:szCs w:val="24"/>
          <w:lang w:eastAsia="pt-BR"/>
        </w:rPr>
        <w:t>recorrer deverá ser manifestada no prazo de 30 minutos, de forma imediata após o término do julgamento das propostas e do ato de habilitação ou inabilitação, em campo próprio do sistema, sob pena de preclusão, ficando a autoridade superior autorizada a adjudicar o objeto ao licitante declarado vencedor;</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w:t>
      </w:r>
      <w:r>
        <w:rPr>
          <w:rFonts w:eastAsia="Times New Roman" w:cs="Arial" w:ascii="Arial" w:hAnsi="Arial"/>
          <w:sz w:val="24"/>
          <w:szCs w:val="24"/>
          <w:lang w:eastAsia="pt-BR"/>
        </w:rPr>
        <w:t>para</w:t>
      </w:r>
      <w:r>
        <w:rPr>
          <w:rFonts w:eastAsia="Times New Roman" w:cs="Arial" w:ascii="Arial" w:hAnsi="Arial"/>
          <w:color w:val="000000"/>
          <w:sz w:val="24"/>
          <w:szCs w:val="24"/>
          <w:lang w:eastAsia="pt-BR"/>
        </w:rPr>
        <w:t xml:space="preserve"> apresentação das razões recursais será iniciado na data de intimação ou de lavratura da ata de habilitação ou inabilitação;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adoção da inversão de fases prevista no § 1º do art. 17 da Lei nº 14.133/2021, o prazo para apresentação das razões recursais será iniciado na data de intimação da ata de julgamento.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recursos deverão ser encaminhados em campo próprio do sistema.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recursos interpostos fora do prazo não serão conhecidos, devendo ser analisados como direito de petição nos termos do art. 5º, inciso XXXIV, alínea "a", da Constituição Federal de 1988.</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assegurado a todos os interessados vista dos elementos indispensáveis à defesa de seus interesses.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e o pedido de reconsideração terão efeito suspensivo do ato ou da decisão recorrida até que sobrevenha decisão final da autoridade competente.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acolhimento do recurso invalida tão somente os atos insuscetíveis de aproveitamento.</w:t>
      </w:r>
    </w:p>
    <w:p>
      <w:pPr>
        <w:pStyle w:val="ListParagraph"/>
        <w:numPr>
          <w:ilvl w:val="1"/>
          <w:numId w:val="1"/>
        </w:numPr>
        <w:tabs>
          <w:tab w:val="clear" w:pos="567"/>
          <w:tab w:val="left" w:pos="709" w:leader="none"/>
        </w:tabs>
        <w:spacing w:lineRule="auto" w:line="240" w:before="0" w:after="240"/>
        <w:ind w:left="0" w:hanging="0"/>
        <w:contextualSpacing w:val="false"/>
        <w:jc w:val="both"/>
        <w:rPr>
          <w:rStyle w:val="LinkdaInternet"/>
          <w:rFonts w:ascii="Arial" w:hAnsi="Arial" w:eastAsia="Times New Roman" w:cs="Arial"/>
          <w:color w:val="auto"/>
          <w:sz w:val="24"/>
          <w:szCs w:val="24"/>
          <w:u w:val="none"/>
          <w:lang w:eastAsia="pt-BR"/>
        </w:rPr>
      </w:pPr>
      <w:r>
        <w:rPr>
          <w:rFonts w:eastAsia="Times New Roman" w:cs="Arial" w:ascii="Arial" w:hAnsi="Arial"/>
          <w:color w:val="000000"/>
          <w:sz w:val="24"/>
          <w:szCs w:val="24"/>
          <w:lang w:eastAsia="pt-BR"/>
        </w:rPr>
        <w:t xml:space="preserve">Os autos do processo permanecerão com vista franqueada, devendo o interessado enviar solicitação para o e-mail </w:t>
      </w:r>
      <w:hyperlink r:id="rId4">
        <w:r>
          <w:rPr>
            <w:rStyle w:val="LinkdaInternet"/>
            <w:rFonts w:eastAsia="Times New Roman" w:cs="Arial" w:ascii="Arial" w:hAnsi="Arial"/>
            <w:sz w:val="24"/>
            <w:szCs w:val="24"/>
            <w:lang w:eastAsia="pt-BR"/>
          </w:rPr>
          <w:t>admsp-suli@trf3.jus.br</w:t>
        </w:r>
      </w:hyperlink>
      <w:r>
        <w:rPr>
          <w:rStyle w:val="LinkdaInternet"/>
          <w:rFonts w:eastAsia="Times New Roman" w:cs="Arial" w:ascii="Arial" w:hAnsi="Arial"/>
          <w:color w:val="auto"/>
          <w:sz w:val="24"/>
          <w:szCs w:val="24"/>
          <w:u w:val="none"/>
          <w:lang w:eastAsia="pt-BR"/>
        </w:rPr>
        <w:t>.</w:t>
      </w:r>
    </w:p>
    <w:p>
      <w:pPr>
        <w:pStyle w:val="ListParagraph"/>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w:t>
      </w:r>
      <w:r>
        <w:rPr>
          <w:rFonts w:eastAsia="Times New Roman" w:cs="Arial" w:ascii="Arial" w:hAnsi="Arial"/>
          <w:b/>
          <w:bCs/>
          <w:sz w:val="24"/>
          <w:szCs w:val="24"/>
          <w:lang w:eastAsia="pt-BR"/>
        </w:rPr>
        <w:t>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Encerradas as fases de julgamento e habilitação, e exauridos os recursos administrativos, o processo licitatório será encaminhado à autoridade superior para adjudicar o objeto e homologar o procedimento, observado o disposto no art. 71 da Lei nº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adjudicatário terá o prazo de 03 (três) dias úteis, contados a partir da data de sua convocação, para assinar o termo de contrato, sob pena de decair o direito à contratação, sem prejuízo das sanções previstas na Lei nº 14.133/2021 e neste Edital e seus anexos.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assinatura do termo de contrato se dará mediante cadastro de usuário externo no sítio da Justiça Federal - Seção Judiciária de São Paulo, no endereço eletrônico </w:t>
      </w:r>
      <w:hyperlink r:id="rId5" w:tgtFrame="Ir para o site da JFSP.">
        <w:r>
          <w:rPr>
            <w:rStyle w:val="LinkdaInternet"/>
            <w:rFonts w:cs="Arial" w:ascii="Arial" w:hAnsi="Arial"/>
            <w:sz w:val="24"/>
            <w:szCs w:val="24"/>
          </w:rPr>
          <w:t>http://www.jfsp.jus.br</w:t>
        </w:r>
      </w:hyperlink>
      <w:r>
        <w:rPr>
          <w:rStyle w:val="LinkdaInternet"/>
          <w:rFonts w:cs="Arial" w:ascii="Arial" w:hAnsi="Arial"/>
          <w:color w:val="auto"/>
          <w:sz w:val="24"/>
          <w:szCs w:val="24"/>
          <w:u w:val="none"/>
        </w:rPr>
        <w:t>,</w:t>
      </w:r>
      <w:r>
        <w:rPr>
          <w:rFonts w:eastAsia="Times New Roman" w:cs="Arial" w:ascii="Arial" w:hAnsi="Arial"/>
          <w:color w:val="000000"/>
          <w:sz w:val="24"/>
          <w:szCs w:val="24"/>
          <w:lang w:eastAsia="pt-BR"/>
        </w:rPr>
        <w:t xml:space="preserve"> no ícone “sei! ACESSO EXTERNO SISTEMA SEI” (Link para acesso: </w:t>
      </w:r>
      <w:hyperlink r:id="rId6">
        <w:r>
          <w:rPr>
            <w:rStyle w:val="LinkdaInternet"/>
            <w:rFonts w:eastAsia="Times New Roman" w:cs="Arial" w:ascii="Arial" w:hAnsi="Arial"/>
            <w:sz w:val="24"/>
            <w:szCs w:val="24"/>
            <w:lang w:eastAsia="pt-BR"/>
          </w:rPr>
          <w:t>SEI - Acesso Externo</w:t>
        </w:r>
      </w:hyperlink>
      <w:r>
        <w:rPr>
          <w:rFonts w:eastAsia="Times New Roman" w:cs="Arial" w:ascii="Arial" w:hAnsi="Arial"/>
          <w:color w:val="000000"/>
          <w:sz w:val="24"/>
          <w:szCs w:val="24"/>
          <w:lang w:eastAsia="pt-BR"/>
        </w:rPr>
        <w:t>). Para tanto, o representante indicado na Proposta Comercial para assinatura eletrônica do termo deverá cadastrar a senha, mediante e-mail pessoa física.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adjudicatário fica incumbido de apresentar cópia da procuração, contrato social ou documento equivalente, que designe expressamente seu representante habilitado para assinatura do termo de contrato.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houver dúvida em relação à integridade dos documentos, o adjudicatário será convocado a apresentar os documentos originais não-digitais no prazo de 5 (cinco) dias úteis, contados da convocação. Caberá ao agente administrativo comparar o documento original e a cópia para atestar a autenticidade.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 e à imediata perda da garantia de proposta em favor da unidade gestora promotora da licitação.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de vigência da contratação é o estabelecido no Termo de Referência.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pPr>
        <w:pStyle w:val="ListParagraph"/>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DAS INFRAÇÕES ADMINISTRATIVAS E SANÇÕES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Comete infração administrativa, nos termos da Lei, o licitante que, com dolo ou culpa: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deixar de entregar a documentação exigida para o certame ou não entregar qualquer documento que tenha sido solicitado pelo pregoeiro durante o certame;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Salvo em decorrência de fato superveniente devidamente justificado, não mantiver a proposta em especial quando: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enviar a proposta adequada ao último lance ofertado ou após a negociação;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recusar-se a enviar o detalhamento da proposta quando exigível;</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pedir para ser desclassificado quando encerrada a etapa competitiva; ou</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deixar de apresentar amostra;</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proposta ou amostra em desacordo com as especificações do Edital;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celebrar o contrato ou não entregar a documentação exigida para a contratação, quando convocado dentro do prazo de validade de sua proposta;</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recusar-se, sem justificativa, a assinar o contrato ou a ata de registro de preço, ou a aceitar ou retirar o instrumento equivalente no prazo estabelecido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declaração ou documentação falsa exigida para o certame ou prestar declaração falsa durante a licitação;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fraudar a licitação;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comportar-se de modo inidôneo ou cometer fraude de qualquer natureza, em especial quando: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agir em conluio ou em desconformidade com a lei;</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induzir deliberadamente a erro no julgamento;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amostra falsificada ou deteriorada;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praticar atos ilícitos com vistas a frustrar os objetivos da licitação;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praticar ato lesivo previsto no art. 5º da Lei n.º 12.846/2013.</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 fulcro na Lei nº 14.133/2021, a Administração poderá, garantida a prévia defesa, aplicar aos licitantes e/ou adjudicatários as seguintes sanções, sem prejuízo das responsabilidades civil e criminal: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multa;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impedimento de licitar e contratar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declaração de inidoneidade para licitar ou contratar.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aplicação das sanções serão considerados: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natureza e a gravidade da infração cometida;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peculiaridades do caso concreto;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circunstâncias agravantes ou atenuantes;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danos que dela provierem para a Administração Pública;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implantação ou o aperfeiçoamento de programa de integridade, conforme normas e orientações dos órgãos de controle.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não recolhimento no prazo estabelecido, ocorrerá o encaminhamento à cobrança judicial.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Para as infrações previstas nos itens 10.1.1, 10.1.2 e 10.1.3, a multa será de 0,5% a 15% do valor estimado da contratação ou do item pertinente.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Para as infrações previstas nos itens 10.1.4, 10.1.5, 10.1.6, 10.1.7 e 10.1.8, a multa será de 20% a 30% do valor estimado da contratação ou do item pertinente.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sanções de impedimento de licitar e contratar e declaração de inidoneidade para licitar ou contratar poderão ser aplicadas, cumulativamente ou não, à penalidade de multa.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aplicação da sanção de multa será facultada a defesa do interessado no prazo de 15 (quinze) dias úteis, contado da data de sua intimação.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sanção de impedimento de licitar e contratar será aplicada ao responsável em decorrência das infrações administrativas relacionadas nos itens 10.1.1, 10.1.2 e 10.1.3, quando não se justificar a imposição de penalidade mais grave, e impedirá o responsável de licitar e contratar no âmbito da União, pelo prazo máximo de 3 (três) anos.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sanção de declaração de inidoneidade para licitar ou contratar será aplicada ao responsável em decorrência da prática das infrações administrativas dispostas nos itens 10.1.4, a 13.1.8, bem como pelas infrações administrativas previstas nos itens 10.1.1 a 10.1.3 que justifiquem a imposição da penalidade mais grave, e impedirá o responsável de licitar ou contratar no âmbito da Administração Pública direta e indireta de todos os entes federativos, pelo prazo mínimo de 3 (três) anos e máximo de 6 (seis) anos.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recusa injustificada do adjudicatário em assinar o contrato ou a ata de registro de preço, ou em aceitar ou retirar o instrumento equivalente no prazo estabelecido pela Administração, descrita no subitem 10.1.3.1, caracterizará o descumprimento total da obrigação assumida e o sujeitará às penalidades conforme previsto em termo de contrato ou instrumento equivalente e à imediata perda da garantia de proposta em favor da unidade gestora promotora da licitação, nos termos do art. 45, § 4º, da IN SEGES nº 73/2022.</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e o pedido de reconsideração terão efeito suspensivo do ato ou da decisão recorrida até que sobrevenha decisão final da autoridade competente.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aplicação das sanções previstas neste Edital não exclui, em hipótese alguma, a obrigação de reparação integral dos danos causados.</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personalidade jurídica do fornecedor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Lei nº 14.133/2021).</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sanções de impedimento de licitar e contratar e declaração de inidoneidade para licitar ou contratar são passíveis de reabilitação na forma do art. 163 da Lei nº 14.133/2021.</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IMPUGNAÇÃO AO EDITAL E DO PEDIDO DE ESCLARECIMENTO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Qualquer pessoa é parte legítima para impugnar este Edital por irregularidade na aplicação da Lei nº 14.133/2021 ou para solicitar esclarecimento sobre seus termos, devendo protocolar o pedido até 3 (três) dias úteis antes da data da abertura do certame.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pregoeiro poderá requisitar subsídios formais aos responsáveis pela elaboração deste Edital e dos anexos para a resposta a que se refere o subitem 11.2.</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impugnação e o pedido de esclarecimento deverão ser realizados por forma eletrônica no seguinte endereço: </w:t>
      </w:r>
      <w:hyperlink r:id="rId7">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impugnações e pedidos de esclarecimentos não suspendem os prazos previstos no certame.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concessão de efeito suspensivo à impugnação é medida excepcional e deverá ser motivada pelo pregoeiro, nos autos do processo de licitação.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Acolhida a impugnação, será definida e publicada nova data para a realização do certame.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respostas aos pedidos de esclarecimentos e impugnações vincularão os participantes e a Administração.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DAS DISPOSIÇÕES GERAIS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divulgada ata da sessão pública no sistema eletrônico.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Todas as referências de tempo no Edital, no aviso e durante a sessão pública observarão o horário de Brasília - DF.</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homologação do resultado desta licitação não implicará direito à 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divergência entre disposições deste Edital e de seus anexos ou demais peças que compõem o processo, prevalecerão as deste Edital.</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divergência entre informações insertas no SIASG/Compras Governamentais e este Edital, prevalecerão as deste Edital.</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Eventuais correspondências expedidas pelas partes signatárias deverão mencionar o número deste Edital e o assunto específico da correspondência.</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As comunicações feitas à Administração, após a homologação do certame, deverão ser endereçadas à Seção de Contratos de Suporte à Frota (SUFR), situada na Rua Peixoto Gomide nº 768, Jardim Paulista - São Paulo/SP - CEP: 01409-903, telefone (11) 2172-6488, ou no e-mail: </w:t>
      </w:r>
      <w:hyperlink r:id="rId8">
        <w:r>
          <w:rPr>
            <w:rStyle w:val="LinkdaInternet"/>
            <w:rFonts w:eastAsia="Times New Roman" w:cs="Arial" w:ascii="Arial" w:hAnsi="Arial"/>
            <w:sz w:val="24"/>
            <w:szCs w:val="24"/>
            <w:lang w:eastAsia="pt-BR"/>
          </w:rPr>
          <w:t>admsp-sufr@trf3.jus.br</w:t>
        </w:r>
      </w:hyperlink>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comunicações feitas pela Administração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informado na Proposta Comercial, devendo o licitante mantê-lo atualizado.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Ao licitante caberá confirmar o recebimento da correspondência eletrônica, no prazo de 1 (um) dia útil, contado de seu envio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ausência de confirmação do recebimento da correspondência eletrônica no prazo acima estipulado, considerar-se-á como realizada e recebida a comunicação pelo licitante.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prazos para apresentação de defesa prévia e de recurso, a Seção responsável pela intimação do licitante, franqueará, independentemente de pedido expresso, acesso ao “SEI – Sistema Eletrônico de Informações” ao representante legal do licitante, cujos dados foram informados na Proposta Comercial.</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estritamente necessário, as comunicações serão enviadas por via postal para o endereço declarado na Proposta Comercial.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Eventuais mudanças de endereços deverão ser comunicadas por escrito.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licitante que desejar obter maiores informações sobre a contratação poderá entrar em contato com a </w:t>
      </w:r>
      <w:r>
        <w:rPr>
          <w:rFonts w:cs="Arial" w:ascii="Arial" w:hAnsi="Arial"/>
          <w:sz w:val="24"/>
          <w:szCs w:val="24"/>
        </w:rPr>
        <w:t>Seção de Licitações</w:t>
      </w:r>
      <w:r>
        <w:rPr>
          <w:rFonts w:eastAsia="Times New Roman" w:cs="Arial" w:ascii="Arial" w:hAnsi="Arial"/>
          <w:color w:val="000000"/>
          <w:sz w:val="24"/>
          <w:szCs w:val="24"/>
          <w:lang w:eastAsia="pt-BR"/>
        </w:rPr>
        <w:t xml:space="preserve"> (SULI) pelo e-mail </w:t>
      </w:r>
      <w:hyperlink r:id="rId9">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 xml:space="preserve"> no horário </w:t>
      </w:r>
      <w:r>
        <w:rPr>
          <w:rFonts w:cs="Arial" w:ascii="Arial" w:hAnsi="Arial"/>
          <w:sz w:val="24"/>
          <w:szCs w:val="24"/>
        </w:rPr>
        <w:t>das 13h às 19h</w:t>
      </w:r>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Edital e seus anexos estão disponíveis, na íntegra, no Portal Nacional de Contratações Públicas (PNCP) e no endereço eletrônico </w:t>
      </w:r>
      <w:hyperlink r:id="rId10" w:tgtFrame="Ir para o Portal de Transparência do TRF3">
        <w:r>
          <w:rPr>
            <w:rStyle w:val="LinkdaInternet"/>
            <w:rFonts w:eastAsia="Arial" w:cs="Arial" w:ascii="Arial" w:hAnsi="Arial"/>
            <w:sz w:val="24"/>
            <w:szCs w:val="24"/>
          </w:rPr>
          <w:t>web.trf3.jus.br/contas/Licitacoes</w:t>
        </w:r>
      </w:hyperlink>
      <w:r>
        <w:rPr>
          <w:rFonts w:eastAsia="Arial" w:cs="Arial" w:ascii="Arial" w:hAnsi="Arial"/>
          <w:sz w:val="24"/>
          <w:szCs w:val="24"/>
        </w:rPr>
        <w:t xml:space="preserve"> (órgão: Justiça Federal de São Paulo)</w:t>
      </w:r>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autos do processo permanecerão com vista franqueada, devendo o interessado enviar solicitação para o e-mail </w:t>
      </w:r>
      <w:hyperlink r:id="rId11" w:tgtFrame="E-mail da Seção de Licitações">
        <w:r>
          <w:rPr>
            <w:rStyle w:val="LinkdaInternet"/>
            <w:rFonts w:cs="Arial" w:ascii="Arial" w:hAnsi="Arial"/>
            <w:sz w:val="24"/>
            <w:szCs w:val="24"/>
          </w:rPr>
          <w:t>admsp-suli@trf3.jus.br</w:t>
        </w:r>
      </w:hyperlink>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liberação de acesso aos autos do processo eletrônico para vistas se fará via e-mail, para o endereço eletrônico informado pelo solicitante.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Considerando-se o advento da Resolução CJF3R nº 100/2023, que alterou a estrutura organizacional de unidades da Administração Central da Seção Judiciária de São Paulo, extinguindo o Núcleo de Frota e Equipamentos de Segurança (NUFE) e criando a Divisão de Frota e Equipamentos de Segurança (DUFE), consigna-se que quaisquer menções no presente edital e nos seus anexos ao extinto NUFE passam a ser entendidas como referência à DUFE.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Integram este Edital, para todos os fins e efeitos, os seguintes anexos:</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 </w:t>
        <w:tab/>
        <w:t xml:space="preserve">- </w:t>
        <w:tab/>
        <w:t>Termo de Referência;</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ANEXO I-A</w:t>
        <w:tab/>
        <w:t>-</w:t>
        <w:tab/>
        <w:t>Planilha de Veículos;</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ANEXO I-B</w:t>
        <w:tab/>
        <w:t>-</w:t>
        <w:tab/>
        <w:t>Endereços;</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II</w:t>
        <w:tab/>
        <w:t>-</w:t>
        <w:tab/>
        <w:t>Documentação exigida para Habilitação;</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III</w:t>
        <w:tab/>
        <w:t>-</w:t>
        <w:tab/>
        <w:t>Modelo de Proposta Comercial;</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IV</w:t>
        <w:tab/>
        <w:t>-</w:t>
        <w:tab/>
        <w:t>Contrato Vigente;</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V</w:t>
        <w:tab/>
        <w:t>-</w:t>
        <w:tab/>
        <w:t>Endosso;</w:t>
      </w:r>
    </w:p>
    <w:p>
      <w:pPr>
        <w:pStyle w:val="ListParagraph"/>
        <w:numPr>
          <w:ilvl w:val="2"/>
          <w:numId w:val="1"/>
        </w:numPr>
        <w:tabs>
          <w:tab w:val="clear" w:pos="567"/>
          <w:tab w:val="left" w:pos="1560" w:leader="none"/>
          <w:tab w:val="left" w:pos="3119" w:leader="none"/>
          <w:tab w:val="left" w:pos="3544" w:leader="none"/>
        </w:tabs>
        <w:spacing w:lineRule="auto" w:line="240" w:before="0" w:after="12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VI</w:t>
        <w:tab/>
        <w:t>-</w:t>
        <w:tab/>
        <w:t>Apólice de Seguro Vigente e Endosso;</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VII</w:t>
        <w:tab/>
        <w:t xml:space="preserve">- </w:t>
        <w:tab/>
        <w:t>Minuta do Termo de Contrato.</w:t>
      </w:r>
    </w:p>
    <w:p>
      <w:pPr>
        <w:pStyle w:val="Normal"/>
        <w:spacing w:lineRule="auto" w:line="240" w:before="0" w:after="120"/>
        <w:ind w:left="119" w:right="119" w:hanging="0"/>
        <w:jc w:val="center"/>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São Paulo, 09 de outubro de 2023.</w:t>
      </w:r>
    </w:p>
    <w:p>
      <w:pPr>
        <w:pStyle w:val="Normal"/>
        <w:spacing w:lineRule="auto" w:line="240" w:before="0" w:after="0"/>
        <w:ind w:left="119" w:right="119" w:hanging="0"/>
        <w:jc w:val="center"/>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120"/>
        <w:ind w:left="119" w:right="119" w:hanging="0"/>
        <w:jc w:val="center"/>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Renato Ladwig dos Santos</w:t>
      </w:r>
    </w:p>
    <w:p>
      <w:pPr>
        <w:pStyle w:val="Normal"/>
        <w:spacing w:lineRule="auto" w:line="240" w:before="0" w:after="120"/>
        <w:ind w:left="119" w:right="119" w:hanging="0"/>
        <w:jc w:val="center"/>
        <w:rPr>
          <w:rFonts w:ascii="Arial" w:hAnsi="Arial" w:eastAsia="Times New Roman" w:cs="Arial"/>
          <w:sz w:val="24"/>
          <w:szCs w:val="24"/>
          <w:lang w:eastAsia="pt-BR"/>
        </w:rPr>
      </w:pPr>
      <w:r>
        <w:rPr>
          <w:rFonts w:eastAsia="Times New Roman" w:cs="Arial" w:ascii="Arial" w:hAnsi="Arial"/>
          <w:color w:val="000000"/>
          <w:sz w:val="24"/>
          <w:szCs w:val="24"/>
          <w:lang w:eastAsia="pt-BR"/>
        </w:rPr>
        <w:t>Diretor da Divisão de Planejamento de Contratações, em exercício</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240"/>
        <w:rPr>
          <w:rFonts w:ascii="Arial" w:hAnsi="Arial" w:eastAsia="Times New Roman" w:cs="Arial"/>
          <w:b/>
          <w:b/>
          <w:bCs/>
          <w:sz w:val="24"/>
          <w:szCs w:val="24"/>
          <w:lang w:eastAsia="pt-BR"/>
        </w:rPr>
      </w:pPr>
      <w:r>
        <w:rPr>
          <w:rFonts w:eastAsia="Times New Roman" w:cs="Arial" w:ascii="Arial" w:hAnsi="Arial"/>
          <w:b/>
          <w:bCs/>
          <w:sz w:val="24"/>
          <w:szCs w:val="24"/>
          <w:lang w:eastAsia="pt-BR"/>
        </w:rPr>
      </w:r>
      <w:r>
        <w:br w:type="page"/>
      </w:r>
    </w:p>
    <w:p>
      <w:pPr>
        <w:pStyle w:val="Normal"/>
        <w:spacing w:lineRule="auto" w:line="240" w:before="0" w:after="240"/>
        <w:jc w:val="center"/>
        <w:rPr>
          <w:rFonts w:ascii="Arial" w:hAnsi="Arial" w:eastAsia="Times New Roman" w:cs="Arial"/>
          <w:sz w:val="24"/>
          <w:szCs w:val="24"/>
          <w:lang w:eastAsia="pt-BR"/>
        </w:rPr>
      </w:pPr>
      <w:r>
        <w:rPr>
          <w:rFonts w:eastAsia="Times New Roman" w:cs="Arial" w:ascii="Arial" w:hAnsi="Arial"/>
          <w:b/>
          <w:bCs/>
          <w:sz w:val="24"/>
          <w:szCs w:val="24"/>
          <w:lang w:eastAsia="pt-BR"/>
        </w:rPr>
        <w:t>ANEXO II – Documentação exigida para habilitação</w:t>
      </w:r>
    </w:p>
    <w:p>
      <w:pPr>
        <w:pStyle w:val="Normal"/>
        <w:spacing w:lineRule="auto" w:line="240" w:before="0" w:after="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Habilitação jurídica: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empresária</w:t>
      </w:r>
      <w:r>
        <w:rPr>
          <w:rFonts w:eastAsia="Times New Roman" w:cs="Arial" w:ascii="Arial" w:hAnsi="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empresária estrangeira</w:t>
      </w:r>
      <w:r>
        <w:rPr>
          <w:rFonts w:eastAsia="Times New Roman" w:cs="Arial" w:ascii="Arial" w:hAnsi="Arial"/>
          <w:sz w:val="24"/>
          <w:szCs w:val="24"/>
          <w:lang w:eastAsia="pt-BR"/>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ListParagraph"/>
        <w:numPr>
          <w:ilvl w:val="1"/>
          <w:numId w:val="2"/>
        </w:numPr>
        <w:spacing w:before="0" w:after="16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Filial, sucursal ou agência de sociedade empresária</w:t>
      </w:r>
      <w:r>
        <w:rPr>
          <w:rFonts w:eastAsia="Times New Roman" w:cs="Arial" w:ascii="Arial" w:hAnsi="Arial"/>
          <w:sz w:val="24"/>
          <w:szCs w:val="24"/>
          <w:lang w:eastAsia="pt-BR"/>
        </w:rPr>
        <w:t>: inscrição do ato constitutivo da filial, sucursal ou agência da sociedade empresária, no Registro Público de Empresas Mercantis onde opera, com averbação no Registro onde tem sede a matriz.</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documentos apresentados deverão estar acompanhados de todas as alterações ou da consolidação respectiva.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Será verificada a compatibilidade do objeto social do licitante com o objeto da contratação.</w:t>
      </w:r>
    </w:p>
    <w:p>
      <w:pPr>
        <w:pStyle w:val="ListParagraph"/>
        <w:spacing w:lineRule="auto" w:line="240" w:before="0" w:after="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Regularidade fiscal, social e trabalhista: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Nacional da Pessoa Jurídica (CNPJ);</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com o Fundo de Garantia do Tempo de Serviço (FGTS);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Declaração de que não emprega menor de 18 anos em trabalho noturno, perigoso ou insalubre e não emprega menor de 16 anos, salvo menor, a partir de 14 anos, na condição de aprendiz, nos termos do artigo 7°, XXXIII, da Constituição;</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de contribuintes [Municipal/Distrital] relativo ao domicílio ou sede do fornecedor, pertinente ao seu ramo de atividade e compatível com o objeto contratual;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com a Fazenda [Municipal/Distrital] do domicílio ou sede do fornecedor, relativa à atividade em cujo exercício contrata ou concorre;</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pPr>
        <w:pStyle w:val="ListParagraph"/>
        <w:spacing w:lineRule="auto" w:line="240" w:before="0" w:after="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Qualificação Técnica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Comprovação de que a empresa atende aos requisitos legais necessários para operar como Seguradora de Veículos, mediante certidão de regularidade expedida junto à Superintendência de Seguros Privados – SUSEP, demonstrando que a entidade não se encontra sob regime de Direção Fiscal, Intervenção, Liquidação Extrajudicial ou Fiscalização Especial e não está cumprindo penalidade de suspensão, nos termos do art. 24 e do art. 78 do Decreto-Lei nº 73 de 21 de novembro de 1966 e do art. 19 da Circular nº 621/2021.</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Declaração de que o fornecedor tomou conhecimento de todas as informações e das condições locais para o cumprimento das obrigações objeto da contratação;</w:t>
      </w:r>
    </w:p>
    <w:p>
      <w:pPr>
        <w:pStyle w:val="ListParagraph"/>
        <w:numPr>
          <w:ilvl w:val="2"/>
          <w:numId w:val="2"/>
        </w:numPr>
        <w:spacing w:lineRule="auto" w:line="240" w:before="0" w:after="240"/>
        <w:ind w:left="426" w:firstLine="708"/>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A declaração acima poderá ser substituída por declaração formal assinada pelo responsável técnico ou representante legal do fornecedor acerca do conhecimento pleno das condições e peculiaridades da contratação.</w:t>
      </w:r>
    </w:p>
    <w:p>
      <w:pPr>
        <w:pStyle w:val="ListParagraph"/>
        <w:spacing w:lineRule="auto" w:line="240" w:before="0" w:after="240"/>
        <w:ind w:left="1224"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240"/>
        <w:jc w:val="center"/>
        <w:rPr>
          <w:rFonts w:ascii="Arial" w:hAnsi="Arial" w:eastAsia="Times New Roman" w:cs="Arial"/>
          <w:b/>
          <w:b/>
          <w:bCs/>
          <w:sz w:val="24"/>
          <w:szCs w:val="24"/>
          <w:lang w:eastAsia="pt-BR"/>
        </w:rPr>
      </w:pPr>
      <w:r>
        <w:rPr>
          <w:rFonts w:eastAsia="Times New Roman" w:cs="Arial" w:ascii="Arial" w:hAnsi="Arial"/>
          <w:b/>
          <w:bCs/>
          <w:sz w:val="24"/>
          <w:szCs w:val="24"/>
          <w:lang w:eastAsia="pt-BR"/>
        </w:rPr>
      </w:r>
    </w:p>
    <w:p>
      <w:pPr>
        <w:pStyle w:val="Normal"/>
        <w:spacing w:lineRule="auto" w:line="240" w:before="0" w:after="240"/>
        <w:jc w:val="center"/>
        <w:rPr>
          <w:rFonts w:ascii="Arial" w:hAnsi="Arial" w:eastAsia="Times New Roman" w:cs="Arial"/>
          <w:b/>
          <w:b/>
          <w:bCs/>
          <w:sz w:val="24"/>
          <w:szCs w:val="24"/>
          <w:lang w:eastAsia="pt-BR"/>
        </w:rPr>
      </w:pPr>
      <w:r>
        <w:rPr>
          <w:rFonts w:eastAsia="Times New Roman" w:cs="Arial" w:ascii="Arial" w:hAnsi="Arial"/>
          <w:b/>
          <w:bCs/>
          <w:sz w:val="24"/>
          <w:szCs w:val="24"/>
          <w:lang w:eastAsia="pt-BR"/>
        </w:rPr>
      </w:r>
    </w:p>
    <w:p>
      <w:pPr>
        <w:pStyle w:val="Normal"/>
        <w:spacing w:lineRule="auto" w:line="240" w:before="0" w:after="240"/>
        <w:jc w:val="center"/>
        <w:rPr>
          <w:rFonts w:ascii="Arial" w:hAnsi="Arial" w:eastAsia="Times New Roman" w:cs="Arial"/>
          <w:b/>
          <w:b/>
          <w:bCs/>
          <w:sz w:val="24"/>
          <w:szCs w:val="24"/>
          <w:lang w:eastAsia="pt-BR"/>
        </w:rPr>
      </w:pPr>
      <w:r>
        <w:rPr/>
      </w:r>
    </w:p>
    <w:sectPr>
      <w:headerReference w:type="default" r:id="rId12"/>
      <w:headerReference w:type="first" r:id="rId13"/>
      <w:type w:val="nextPage"/>
      <w:pgSz w:w="11906" w:h="16838"/>
      <w:pgMar w:left="1474" w:right="1474" w:gutter="0" w:header="709" w:top="1531" w:footer="0" w:bottom="1361"/>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Pregão Eletrônico nº 044/2023</w:t>
    </w:r>
  </w:p>
  <w:p>
    <w:pPr>
      <w:pStyle w:val="Normal"/>
      <w:spacing w:before="0" w:after="160"/>
      <w:jc w:val="right"/>
      <w:rPr>
        <w:rFonts w:ascii="Arial" w:hAnsi="Arial" w:cs="Arial"/>
        <w:color w:val="FFFFFF" w:themeColor="background1"/>
        <w:sz w:val="18"/>
        <w:szCs w:val="18"/>
      </w:rPr>
    </w:pPr>
    <w:r>
      <w:rPr>
        <w:rFonts w:cs="Arial" w:ascii="Arial" w:hAnsi="Arial"/>
        <w:sz w:val="18"/>
        <w:szCs w:val="18"/>
      </w:rPr>
      <w:t xml:space="preserve">Edital - Página </w:t>
    </w:r>
    <w:r>
      <w:rPr>
        <w:rFonts w:cs="Arial" w:ascii="Arial" w:hAnsi="Arial"/>
        <w:sz w:val="18"/>
        <w:szCs w:val="18"/>
      </w:rPr>
      <w:fldChar w:fldCharType="begin"/>
    </w:r>
    <w:r>
      <w:rPr>
        <w:sz w:val="18"/>
        <w:szCs w:val="18"/>
        <w:rFonts w:cs="Arial" w:ascii="Arial" w:hAnsi="Arial"/>
      </w:rPr>
      <w:instrText xml:space="preserve"> PAGE \* ARABIC </w:instrText>
    </w:r>
    <w:r>
      <w:rPr>
        <w:sz w:val="18"/>
        <w:szCs w:val="18"/>
        <w:rFonts w:cs="Arial" w:ascii="Arial" w:hAnsi="Arial"/>
      </w:rPr>
      <w:fldChar w:fldCharType="separate"/>
    </w:r>
    <w:r>
      <w:rPr>
        <w:sz w:val="18"/>
        <w:szCs w:val="18"/>
        <w:rFonts w:cs="Arial" w:ascii="Arial" w:hAnsi="Arial"/>
      </w:rPr>
      <w:t>29</w:t>
    </w:r>
    <w:r>
      <w:rPr>
        <w:sz w:val="18"/>
        <w:szCs w:val="18"/>
        <w:rFonts w:cs="Arial" w:ascii="Arial" w:hAnsi="Arial"/>
      </w:rPr>
      <w:fldChar w:fldCharType="end"/>
    </w:r>
    <w:r>
      <w:rPr>
        <w:rFonts w:cs="Arial" w:ascii="Arial" w:hAnsi="Arial"/>
        <w:sz w:val="18"/>
        <w:szCs w:val="18"/>
      </w:rPr>
      <w:t xml:space="preserve"> de </w:t>
    </w:r>
    <w:r>
      <w:rPr>
        <w:rFonts w:cs="Arial" w:ascii="Arial" w:hAnsi="Arial"/>
        <w:sz w:val="18"/>
        <w:szCs w:val="18"/>
      </w:rPr>
      <w:fldChar w:fldCharType="begin"/>
    </w:r>
    <w:r>
      <w:rPr>
        <w:sz w:val="18"/>
        <w:szCs w:val="18"/>
        <w:rFonts w:cs="Arial" w:ascii="Arial" w:hAnsi="Arial"/>
      </w:rPr>
      <w:instrText xml:space="preserve"> NUMPAGES \* ARABIC </w:instrText>
    </w:r>
    <w:r>
      <w:rPr>
        <w:sz w:val="18"/>
        <w:szCs w:val="18"/>
        <w:rFonts w:cs="Arial" w:ascii="Arial" w:hAnsi="Arial"/>
      </w:rPr>
      <w:fldChar w:fldCharType="separate"/>
    </w:r>
    <w:r>
      <w:rPr>
        <w:sz w:val="18"/>
        <w:szCs w:val="18"/>
        <w:rFonts w:cs="Arial" w:ascii="Arial" w:hAnsi="Arial"/>
      </w:rPr>
      <w:t>29</w:t>
    </w:r>
    <w:r>
      <w:rPr>
        <w:sz w:val="18"/>
        <w:szCs w:val="18"/>
        <w:rFonts w:cs="Arial" w:ascii="Arial" w:hAnsi="Arial"/>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numPr>
        <w:ilvl w:val="0"/>
        <w:numId w:val="0"/>
      </w:numPr>
      <w:tabs>
        <w:tab w:val="clear" w:pos="567"/>
        <w:tab w:val="left" w:pos="8505" w:leader="none"/>
      </w:tabs>
      <w:jc w:val="center"/>
      <w:outlineLvl w:val="0"/>
      <w:rPr>
        <w:rFonts w:ascii="Arial" w:hAnsi="Arial" w:eastAsia="Times New Roman" w:cs="Arial"/>
        <w:sz w:val="24"/>
        <w:szCs w:val="24"/>
        <w:lang w:eastAsia="pt-BR"/>
      </w:rPr>
    </w:pPr>
    <w:r>
      <w:rPr>
        <w:rFonts w:eastAsia="Times New Roman" w:cs="Arial" w:ascii="Arial" w:hAnsi="Arial"/>
        <w:sz w:val="24"/>
        <w:szCs w:val="24"/>
        <w:lang w:eastAsia="pt-BR"/>
      </w:rPr>
      <w:drawing>
        <wp:anchor behindDoc="1" distT="0" distB="0" distL="0" distR="0" simplePos="0" locked="0" layoutInCell="0" allowOverlap="1" relativeHeight="2">
          <wp:simplePos x="0" y="0"/>
          <wp:positionH relativeFrom="margin">
            <wp:align>center</wp:align>
          </wp:positionH>
          <wp:positionV relativeFrom="paragraph">
            <wp:posOffset>-210820</wp:posOffset>
          </wp:positionV>
          <wp:extent cx="855980" cy="914400"/>
          <wp:effectExtent l="0" t="0" r="0" b="0"/>
          <wp:wrapNone/>
          <wp:docPr id="1"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Foto preta e branca de um relógio&#10;&#10;Descrição gerada automaticamente"/>
                  <pic:cNvPicPr>
                    <a:picLocks noChangeAspect="1" noChangeArrowheads="1"/>
                  </pic:cNvPicPr>
                </pic:nvPicPr>
                <pic:blipFill>
                  <a:blip r:embed="rId1"/>
                  <a:stretch>
                    <a:fillRect/>
                  </a:stretch>
                </pic:blipFill>
                <pic:spPr bwMode="auto">
                  <a:xfrm>
                    <a:off x="0" y="0"/>
                    <a:ext cx="855980" cy="914400"/>
                  </a:xfrm>
                  <a:prstGeom prst="rect">
                    <a:avLst/>
                  </a:prstGeom>
                </pic:spPr>
              </pic:pic>
            </a:graphicData>
          </a:graphic>
        </wp:anchor>
      </w:drawing>
    </w:r>
  </w:p>
  <w:p>
    <w:pPr>
      <w:pStyle w:val="Normal"/>
      <w:spacing w:before="240" w:after="160"/>
      <w:jc w:val="center"/>
      <w:rPr>
        <w:rFonts w:ascii="Arial" w:hAnsi="Arial" w:cs="Arial"/>
        <w:lang w:eastAsia="pt-BR"/>
      </w:rPr>
    </w:pPr>
    <w:r>
      <w:rPr>
        <w:rFonts w:cs="Arial" w:ascii="Arial" w:hAnsi="Arial"/>
        <w:lang w:eastAsia="pt-BR"/>
      </w:rPr>
    </w:r>
  </w:p>
  <w:p>
    <w:pPr>
      <w:pStyle w:val="Normal"/>
      <w:spacing w:lineRule="auto" w:line="240" w:before="0" w:after="0"/>
      <w:jc w:val="center"/>
      <w:rPr>
        <w:rFonts w:ascii="Arial" w:hAnsi="Arial" w:cs="Arial"/>
        <w:lang w:eastAsia="pt-BR"/>
      </w:rPr>
    </w:pPr>
    <w:r>
      <w:rPr>
        <w:rFonts w:cs="Arial" w:ascii="Arial" w:hAnsi="Arial"/>
        <w:lang w:eastAsia="pt-BR"/>
      </w:rPr>
    </w:r>
  </w:p>
  <w:p>
    <w:pPr>
      <w:pStyle w:val="Normal"/>
      <w:spacing w:lineRule="auto" w:line="240" w:before="0" w:after="0"/>
      <w:jc w:val="center"/>
      <w:rPr>
        <w:rFonts w:ascii="Arial" w:hAnsi="Arial" w:cs="Arial"/>
        <w:lang w:eastAsia="pt-BR"/>
      </w:rPr>
    </w:pPr>
    <w:r>
      <w:rPr>
        <w:rFonts w:cs="Arial" w:ascii="Arial" w:hAnsi="Arial"/>
        <w:lang w:eastAsia="pt-BR"/>
      </w:rPr>
      <w:t>PODER JUDICIÁRIO</w:t>
    </w:r>
  </w:p>
  <w:p>
    <w:pPr>
      <w:pStyle w:val="Normal"/>
      <w:spacing w:lineRule="auto" w:line="240" w:before="0" w:after="0"/>
      <w:jc w:val="center"/>
      <w:rPr>
        <w:rFonts w:ascii="Arial" w:hAnsi="Arial" w:cs="Arial"/>
        <w:b/>
        <w:b/>
        <w:bCs/>
        <w:sz w:val="24"/>
        <w:szCs w:val="24"/>
        <w:lang w:eastAsia="pt-BR"/>
      </w:rPr>
    </w:pPr>
    <w:r>
      <w:rPr>
        <w:rFonts w:cs="Arial" w:ascii="Arial" w:hAnsi="Arial"/>
        <w:b/>
        <w:bCs/>
        <w:sz w:val="24"/>
        <w:szCs w:val="24"/>
        <w:lang w:eastAsia="pt-BR"/>
      </w:rPr>
      <w:t>JUSTIÇA FEDERAL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bCs/>
        <w:rFonts w:ascii="Arial" w:hAnsi="Arial" w:cs="Arial"/>
      </w:rPr>
    </w:lvl>
    <w:lvl w:ilvl="1">
      <w:start w:val="1"/>
      <w:numFmt w:val="decimal"/>
      <w:lvlText w:val="%1.%2."/>
      <w:lvlJc w:val="left"/>
      <w:pPr>
        <w:tabs>
          <w:tab w:val="num" w:pos="0"/>
        </w:tabs>
        <w:ind w:left="3835" w:hanging="432"/>
      </w:pPr>
      <w:rPr>
        <w:rFonts w:ascii="Arial" w:hAnsi="Arial" w:cs="Arial"/>
        <w:color w:val="auto"/>
      </w:rPr>
    </w:lvl>
    <w:lvl w:ilvl="2">
      <w:start w:val="1"/>
      <w:numFmt w:val="decimal"/>
      <w:lvlText w:val="%1.%2.%3."/>
      <w:lvlJc w:val="left"/>
      <w:pPr>
        <w:tabs>
          <w:tab w:val="num" w:pos="0"/>
        </w:tabs>
        <w:ind w:left="1224" w:hanging="504"/>
      </w:pPr>
      <w:rPr>
        <w:rFonts w:ascii="Arial" w:hAnsi="Arial" w:cs="Arial"/>
      </w:rPr>
    </w:lvl>
    <w:lvl w:ilvl="3">
      <w:start w:val="1"/>
      <w:numFmt w:val="decimal"/>
      <w:lvlText w:val="%1.%2.%3.%4."/>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56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readOnly" w:cryptProviderType="rsaAES" w:cryptAlgorithmClass="hash" w:cryptAlgorithmType="typeAny" w:cryptAlgorithmSid="" w:cryptSpinCount="0" w:hash="" w:sal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Arial"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646428"/>
    <w:rPr>
      <w:b/>
      <w:bCs/>
    </w:rPr>
  </w:style>
  <w:style w:type="character" w:styleId="LinkdaInternet">
    <w:name w:val="Hyperlink"/>
    <w:basedOn w:val="DefaultParagraphFont"/>
    <w:unhideWhenUsed/>
    <w:rsid w:val="00646428"/>
    <w:rPr>
      <w:color w:val="0000FF"/>
      <w:u w:val="single"/>
    </w:rPr>
  </w:style>
  <w:style w:type="character" w:styleId="Linkdainternetvisitado">
    <w:name w:val="FollowedHyperlink"/>
    <w:basedOn w:val="DefaultParagraphFont"/>
    <w:uiPriority w:val="99"/>
    <w:semiHidden/>
    <w:unhideWhenUsed/>
    <w:rsid w:val="00646428"/>
    <w:rPr>
      <w:color w:val="800080"/>
      <w:u w:val="single"/>
    </w:rPr>
  </w:style>
  <w:style w:type="character" w:styleId="Annotationreference">
    <w:name w:val="annotation reference"/>
    <w:basedOn w:val="DefaultParagraphFont"/>
    <w:uiPriority w:val="99"/>
    <w:semiHidden/>
    <w:unhideWhenUsed/>
    <w:qFormat/>
    <w:rsid w:val="00a16952"/>
    <w:rPr>
      <w:sz w:val="16"/>
      <w:szCs w:val="16"/>
    </w:rPr>
  </w:style>
  <w:style w:type="character" w:styleId="CommentTextChar" w:customStyle="1">
    <w:name w:val="Comment Text Char"/>
    <w:basedOn w:val="DefaultParagraphFont"/>
    <w:link w:val="Annotationtext"/>
    <w:uiPriority w:val="99"/>
    <w:qFormat/>
    <w:rsid w:val="00a16952"/>
    <w:rPr>
      <w:sz w:val="20"/>
      <w:szCs w:val="20"/>
    </w:rPr>
  </w:style>
  <w:style w:type="character" w:styleId="CommentSubjectChar" w:customStyle="1">
    <w:name w:val="Comment Subject Char"/>
    <w:basedOn w:val="CommentTextChar"/>
    <w:link w:val="Annotationsubject"/>
    <w:uiPriority w:val="99"/>
    <w:semiHidden/>
    <w:qFormat/>
    <w:rsid w:val="00a16952"/>
    <w:rPr>
      <w:b/>
      <w:bCs/>
      <w:sz w:val="20"/>
      <w:szCs w:val="20"/>
    </w:rPr>
  </w:style>
  <w:style w:type="character" w:styleId="Cf01" w:customStyle="1">
    <w:name w:val="cf01"/>
    <w:basedOn w:val="DefaultParagraphFont"/>
    <w:qFormat/>
    <w:rsid w:val="00c01489"/>
    <w:rPr>
      <w:rFonts w:ascii="Segoe UI" w:hAnsi="Segoe UI" w:cs="Segoe UI"/>
      <w:sz w:val="18"/>
      <w:szCs w:val="18"/>
    </w:rPr>
  </w:style>
  <w:style w:type="character" w:styleId="UnresolvedMention">
    <w:name w:val="Unresolved Mention"/>
    <w:basedOn w:val="DefaultParagraphFont"/>
    <w:uiPriority w:val="99"/>
    <w:semiHidden/>
    <w:unhideWhenUsed/>
    <w:qFormat/>
    <w:rsid w:val="00dd73dc"/>
    <w:rPr>
      <w:color w:val="605E5C"/>
      <w:shd w:fill="E1DFDD" w:val="clear"/>
    </w:rPr>
  </w:style>
  <w:style w:type="character" w:styleId="HeaderChar" w:customStyle="1">
    <w:name w:val="Header Char"/>
    <w:basedOn w:val="DefaultParagraphFont"/>
    <w:uiPriority w:val="99"/>
    <w:qFormat/>
    <w:rsid w:val="00aa69f7"/>
    <w:rPr/>
  </w:style>
  <w:style w:type="character" w:styleId="FooterChar" w:customStyle="1">
    <w:name w:val="Footer Char"/>
    <w:basedOn w:val="DefaultParagraphFont"/>
    <w:uiPriority w:val="99"/>
    <w:qFormat/>
    <w:rsid w:val="00aa69f7"/>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Msonormal" w:customStyle="1">
    <w:name w:val="msonormal"/>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maiusculas" w:customStyle="1">
    <w:name w:val="texto_centralizado_maiusculas"/>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ementa" w:customStyle="1">
    <w:name w:val="texto_ementa"/>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 w:customStyle="1">
    <w:name w:val="texto_justificado"/>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NormalWeb">
    <w:name w:val="Normal (Web)"/>
    <w:basedOn w:val="Normal"/>
    <w:uiPriority w:val="99"/>
    <w:semiHidden/>
    <w:unhideWhenUsed/>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ListParagraph">
    <w:name w:val="List Paragraph"/>
    <w:basedOn w:val="Normal"/>
    <w:uiPriority w:val="34"/>
    <w:qFormat/>
    <w:rsid w:val="0091529c"/>
    <w:pPr>
      <w:spacing w:before="0" w:after="160"/>
      <w:ind w:left="720" w:hanging="0"/>
      <w:contextualSpacing/>
    </w:pPr>
    <w:rPr/>
  </w:style>
  <w:style w:type="paragraph" w:styleId="Annotationtext">
    <w:name w:val="annotation text"/>
    <w:basedOn w:val="Normal"/>
    <w:link w:val="CommentTextChar"/>
    <w:uiPriority w:val="99"/>
    <w:unhideWhenUsed/>
    <w:qFormat/>
    <w:rsid w:val="00a16952"/>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a16952"/>
    <w:pPr/>
    <w:rPr>
      <w:b/>
      <w:bCs/>
    </w:rPr>
  </w:style>
  <w:style w:type="paragraph" w:styleId="CabealhoeRodap">
    <w:name w:val="Cabeçalho e Rodapé"/>
    <w:basedOn w:val="Normal"/>
    <w:qFormat/>
    <w:pPr/>
    <w:rPr/>
  </w:style>
  <w:style w:type="paragraph" w:styleId="Cabealho">
    <w:name w:val="Header"/>
    <w:basedOn w:val="Normal"/>
    <w:link w:val="HeaderChar"/>
    <w:uiPriority w:val="99"/>
    <w:unhideWhenUsed/>
    <w:rsid w:val="00aa69f7"/>
    <w:pPr>
      <w:tabs>
        <w:tab w:val="clear" w:pos="567"/>
        <w:tab w:val="center" w:pos="4252" w:leader="none"/>
        <w:tab w:val="right" w:pos="8504" w:leader="none"/>
      </w:tabs>
      <w:spacing w:lineRule="auto" w:line="240" w:before="0" w:after="0"/>
    </w:pPr>
    <w:rPr/>
  </w:style>
  <w:style w:type="paragraph" w:styleId="Rodap">
    <w:name w:val="Footer"/>
    <w:basedOn w:val="Normal"/>
    <w:link w:val="FooterChar"/>
    <w:uiPriority w:val="99"/>
    <w:unhideWhenUsed/>
    <w:rsid w:val="00aa69f7"/>
    <w:pPr>
      <w:tabs>
        <w:tab w:val="clear" w:pos="567"/>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www.gov.br/compras" TargetMode="External"/><Relationship Id="rId4" Type="http://schemas.openxmlformats.org/officeDocument/2006/relationships/hyperlink" Target="mailto:admsp-suli@trf3.jus.br" TargetMode="External"/><Relationship Id="rId5" Type="http://schemas.openxmlformats.org/officeDocument/2006/relationships/hyperlink" Target="http://www.jfsp.jus.br/" TargetMode="External"/><Relationship Id="rId6" Type="http://schemas.openxmlformats.org/officeDocument/2006/relationships/hyperlink" Target="https://sei.trf3.jus.br/sei/controlador_externo.php?acao=usuario_externo_logar&amp;id_orgao_acesso_externo=1" TargetMode="External"/><Relationship Id="rId7" Type="http://schemas.openxmlformats.org/officeDocument/2006/relationships/hyperlink" Target="mailto:admsp-suli@trf3.jus.br" TargetMode="External"/><Relationship Id="rId8" Type="http://schemas.openxmlformats.org/officeDocument/2006/relationships/hyperlink" Target="mailto:admsp-sufr@trf3.jus.br" TargetMode="External"/><Relationship Id="rId9" Type="http://schemas.openxmlformats.org/officeDocument/2006/relationships/hyperlink" Target="mailto:admsp-suli@trf3.jus.br" TargetMode="External"/><Relationship Id="rId10" Type="http://schemas.openxmlformats.org/officeDocument/2006/relationships/hyperlink" Target="https://web.trf3.jus.br/contas/Licitacoes" TargetMode="External"/><Relationship Id="rId11" Type="http://schemas.openxmlformats.org/officeDocument/2006/relationships/hyperlink" Target="mailto:admsp-suli@trf3.jus.br"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2467</TotalTime>
  <Application>LibreOffice/7.4.6.2$Windows_X86_64 LibreOffice_project/5b1f5509c2decdade7fda905e3e1429a67acd63d</Application>
  <AppVersion>15.0000</AppVersion>
  <DocSecurity>4</DocSecurity>
  <Pages>29</Pages>
  <Words>10348</Words>
  <Characters>57881</Characters>
  <CharactersWithSpaces>67533</CharactersWithSpaces>
  <Paragraphs>376</Paragraphs>
  <Company>Tribunal Regional Federal 3ª Região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2023-07-18T07:16:00Z</dcterms:created>
  <dc:creator>JOCELITO DE BRITO CAVALCANTI</dc:creator>
  <dc:description/>
  <dc:language>pt-BR</dc:language>
  <cp:lastModifiedBy/>
  <dcterms:modified xsi:type="dcterms:W3CDTF">2023-10-16T19:44:08Z</dcterms:modified>
  <cp:revision>550</cp:revision>
  <dc:subject/>
  <dc:title/>
</cp:coreProperties>
</file>

<file path=docProps/custom.xml><?xml version="1.0" encoding="utf-8"?>
<Properties xmlns="http://schemas.openxmlformats.org/officeDocument/2006/custom-properties" xmlns:vt="http://schemas.openxmlformats.org/officeDocument/2006/docPropsVTypes"/>
</file>