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24" w:rsidRPr="00D02253" w:rsidRDefault="00A63214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</w:rPr>
      </w:pPr>
      <w:r w:rsidRPr="00D02253">
        <w:rPr>
          <w:rStyle w:val="Forte"/>
          <w:rFonts w:eastAsia="Times New Roman"/>
          <w:color w:val="606060"/>
          <w:sz w:val="28"/>
          <w:szCs w:val="28"/>
        </w:rPr>
        <w:t xml:space="preserve">Lei nº 12.846 (Lei Anticorrupção). Reflexos no Seguro de Responsabilidade Civil. Relatores: Dr. Luis Eduardo Pereira </w:t>
      </w:r>
      <w:bookmarkStart w:id="0" w:name="_GoBack"/>
      <w:bookmarkEnd w:id="0"/>
      <w:r w:rsidRPr="00D02253">
        <w:rPr>
          <w:rStyle w:val="Forte"/>
          <w:rFonts w:eastAsia="Times New Roman"/>
          <w:color w:val="606060"/>
          <w:sz w:val="28"/>
          <w:szCs w:val="28"/>
        </w:rPr>
        <w:t>Sanches e Dra. Claudia Souza de Araújo;</w:t>
      </w:r>
      <w:r w:rsidRPr="00D02253">
        <w:rPr>
          <w:rFonts w:eastAsia="Times New Roman"/>
          <w:b/>
          <w:color w:val="606060"/>
          <w:sz w:val="28"/>
          <w:szCs w:val="28"/>
        </w:rPr>
        <w:t> </w:t>
      </w:r>
    </w:p>
    <w:p w:rsidR="00A63214" w:rsidRPr="00D02253" w:rsidRDefault="00A63214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</w:rPr>
      </w:pPr>
    </w:p>
    <w:p w:rsidR="00474CF1" w:rsidRPr="00F513BF" w:rsidRDefault="00A63214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Referida lei dispõe sobre a responsabilização administrativa e civil das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>pessoas jurídicas</w:t>
      </w:r>
      <w:r w:rsidRPr="00F513BF">
        <w:rPr>
          <w:rFonts w:eastAsia="Times New Roman"/>
          <w:color w:val="606060"/>
          <w:sz w:val="28"/>
          <w:szCs w:val="28"/>
        </w:rPr>
        <w:t xml:space="preserve"> pela prática de atos contra a administração pública, nacional ou estrangeira. </w:t>
      </w:r>
    </w:p>
    <w:p w:rsidR="0082182D" w:rsidRPr="00F513BF" w:rsidRDefault="00474CF1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 i</w:t>
      </w:r>
      <w:r w:rsidR="0082182D" w:rsidRPr="00F513BF">
        <w:rPr>
          <w:rFonts w:eastAsia="Times New Roman"/>
          <w:color w:val="606060"/>
          <w:sz w:val="28"/>
          <w:szCs w:val="28"/>
        </w:rPr>
        <w:t>novação trazida por esta lei é</w:t>
      </w:r>
      <w:r w:rsidRPr="00F513BF">
        <w:rPr>
          <w:rFonts w:eastAsia="Times New Roman"/>
          <w:color w:val="606060"/>
          <w:sz w:val="28"/>
          <w:szCs w:val="28"/>
        </w:rPr>
        <w:t xml:space="preserve"> de que não é necessário o reconhecimento de culpa para que a pessoa jurídica seja penalizada, ou seja, sua responsabilidade é </w:t>
      </w:r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>objetiva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. </w:t>
      </w:r>
    </w:p>
    <w:p w:rsidR="00474CF1" w:rsidRPr="00F513BF" w:rsidRDefault="00A701A5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Nos termos da lei em estudo, são considerados a</w:t>
      </w:r>
      <w:r w:rsidR="00474CF1" w:rsidRPr="00F513BF">
        <w:rPr>
          <w:rFonts w:eastAsia="Times New Roman"/>
          <w:color w:val="606060"/>
          <w:sz w:val="28"/>
          <w:szCs w:val="28"/>
        </w:rPr>
        <w:t xml:space="preserve">tos </w:t>
      </w:r>
      <w:r w:rsidRPr="00F513BF">
        <w:rPr>
          <w:rFonts w:eastAsia="Times New Roman"/>
          <w:color w:val="606060"/>
          <w:sz w:val="28"/>
          <w:szCs w:val="28"/>
        </w:rPr>
        <w:t>lesivos: os seguintes procedimentos:</w:t>
      </w:r>
    </w:p>
    <w:p w:rsidR="00474CF1" w:rsidRPr="00F513BF" w:rsidRDefault="00474CF1" w:rsidP="00F513BF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Prometer, oferecer ou dar, direta ou indiretamente, vantagem indevida a agente público, ou a terceira pessoa</w:t>
      </w:r>
      <w:r w:rsidR="00A701A5" w:rsidRPr="00F513BF">
        <w:rPr>
          <w:rFonts w:eastAsia="Times New Roman"/>
          <w:color w:val="606060"/>
          <w:sz w:val="28"/>
          <w:szCs w:val="28"/>
        </w:rPr>
        <w:t xml:space="preserve"> </w:t>
      </w:r>
      <w:r w:rsidRPr="00F513BF">
        <w:rPr>
          <w:rFonts w:eastAsia="Times New Roman"/>
          <w:color w:val="606060"/>
          <w:sz w:val="28"/>
          <w:szCs w:val="28"/>
        </w:rPr>
        <w:t>a ele relacionada;</w:t>
      </w:r>
    </w:p>
    <w:p w:rsidR="00474CF1" w:rsidRPr="00F513BF" w:rsidRDefault="00474CF1" w:rsidP="00F513BF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Financiar, custear, patrocinar, ou subvencionar a prática de atos ilícitos;</w:t>
      </w:r>
    </w:p>
    <w:p w:rsidR="0082182D" w:rsidRPr="00F513BF" w:rsidRDefault="00474CF1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Utilizar-se de interposta pessoa física ou jurídica para ocultar ou dissimular seus reais interesses ou a identidade dos beneficiários dos atos praticados </w:t>
      </w:r>
    </w:p>
    <w:p w:rsidR="0082182D" w:rsidRPr="00F513BF" w:rsidRDefault="0082182D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Fraude a licitações </w:t>
      </w:r>
    </w:p>
    <w:p w:rsidR="0082182D" w:rsidRPr="00F513BF" w:rsidRDefault="0082182D" w:rsidP="00F513BF">
      <w:pPr>
        <w:pStyle w:val="PargrafodaLista"/>
        <w:numPr>
          <w:ilvl w:val="2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Frustrar ou fraudar, mediante ajuste, combinação ou qualquer outro expediente, o caráter competitivo de procedimento licitatório público;</w:t>
      </w:r>
    </w:p>
    <w:p w:rsidR="0082182D" w:rsidRPr="00F513BF" w:rsidRDefault="0082182D" w:rsidP="00F513BF">
      <w:pPr>
        <w:pStyle w:val="PargrafodaLista"/>
        <w:numPr>
          <w:ilvl w:val="2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lastRenderedPageBreak/>
        <w:t>Impedir, perturbar ou fraudar a realização de qualquer ato de procedimento licitatório público;</w:t>
      </w:r>
    </w:p>
    <w:p w:rsidR="0082182D" w:rsidRPr="00F513BF" w:rsidRDefault="0082182D" w:rsidP="00F513BF">
      <w:pPr>
        <w:pStyle w:val="PargrafodaLista"/>
        <w:numPr>
          <w:ilvl w:val="2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Afastar ou procurar afastar licitante, por meio de fraude ou oferecimento de vantagem de qualquer tipo;</w:t>
      </w:r>
    </w:p>
    <w:p w:rsidR="0082182D" w:rsidRPr="00F513BF" w:rsidRDefault="00A701A5" w:rsidP="00F513BF">
      <w:pPr>
        <w:pStyle w:val="PargrafodaLista"/>
        <w:numPr>
          <w:ilvl w:val="2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Fraudar licitação públ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ica ou contrato dela decorrente. </w:t>
      </w:r>
    </w:p>
    <w:p w:rsidR="0082182D" w:rsidRPr="00F513BF" w:rsidRDefault="0082182D" w:rsidP="00F513BF">
      <w:pPr>
        <w:pStyle w:val="PargrafodaLista"/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</w:p>
    <w:p w:rsidR="0082182D" w:rsidRPr="00F513BF" w:rsidRDefault="0082182D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Dificultar investigação e fiscalização de órgãos, entidades ou agentes públicos, ou intervir em sua atuação, inclusive no âmbito das agências reguladoras e dos órgãos de fiscalização do sistema financeiro nacional, inclusive por meio de terceiros ou do mero financiamento da atividade ilícita. </w:t>
      </w:r>
    </w:p>
    <w:p w:rsidR="00474CF1" w:rsidRPr="00F513BF" w:rsidRDefault="00474CF1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</w:p>
    <w:p w:rsidR="00474CF1" w:rsidRPr="00F513BF" w:rsidRDefault="00A63214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Não </w:t>
      </w:r>
      <w:r w:rsidR="000B5C30" w:rsidRPr="00F513BF">
        <w:rPr>
          <w:rFonts w:eastAsia="Times New Roman"/>
          <w:color w:val="606060"/>
          <w:sz w:val="28"/>
          <w:szCs w:val="28"/>
        </w:rPr>
        <w:t>se trata de medida meramente preventiva com o objetivo de coibir a corrupção</w:t>
      </w:r>
      <w:r w:rsidRPr="00F513BF">
        <w:rPr>
          <w:rFonts w:eastAsia="Times New Roman"/>
          <w:color w:val="606060"/>
          <w:sz w:val="28"/>
          <w:szCs w:val="28"/>
        </w:rPr>
        <w:t xml:space="preserve">, a lei estabelece sanções administrativas </w:t>
      </w:r>
      <w:r w:rsidR="002D5C16" w:rsidRPr="00F513BF">
        <w:rPr>
          <w:rFonts w:eastAsia="Times New Roman"/>
          <w:color w:val="606060"/>
          <w:sz w:val="28"/>
          <w:szCs w:val="28"/>
        </w:rPr>
        <w:t xml:space="preserve">e judiciais </w:t>
      </w:r>
      <w:proofErr w:type="gramStart"/>
      <w:r w:rsidR="000B5C30" w:rsidRPr="00F513BF">
        <w:rPr>
          <w:rFonts w:eastAsia="Times New Roman"/>
          <w:color w:val="606060"/>
          <w:sz w:val="28"/>
          <w:szCs w:val="28"/>
        </w:rPr>
        <w:t>à</w:t>
      </w:r>
      <w:proofErr w:type="gramEnd"/>
      <w:r w:rsidRPr="00F513BF">
        <w:rPr>
          <w:rFonts w:eastAsia="Times New Roman"/>
          <w:color w:val="606060"/>
          <w:sz w:val="28"/>
          <w:szCs w:val="28"/>
        </w:rPr>
        <w:t xml:space="preserve"> atos contra a Administração Pública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, sendo bastante abrangente na medida em que o simples oferecimento de propina 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no Brasil ou no Exterior 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– independente </w:t>
      </w:r>
      <w:r w:rsidR="000B5C30" w:rsidRPr="00F513BF">
        <w:rPr>
          <w:rFonts w:eastAsia="Times New Roman"/>
          <w:color w:val="606060"/>
          <w:sz w:val="28"/>
          <w:szCs w:val="28"/>
        </w:rPr>
        <w:t>da efetivação do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 pagamento</w:t>
      </w:r>
      <w:r w:rsidR="0096333D" w:rsidRPr="00F513BF">
        <w:rPr>
          <w:rFonts w:eastAsia="Times New Roman"/>
          <w:color w:val="606060"/>
          <w:sz w:val="28"/>
          <w:szCs w:val="28"/>
        </w:rPr>
        <w:t xml:space="preserve"> -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 já </w:t>
      </w:r>
      <w:r w:rsidR="002D5C16" w:rsidRPr="00F513BF">
        <w:rPr>
          <w:rFonts w:eastAsia="Times New Roman"/>
          <w:color w:val="606060"/>
          <w:sz w:val="28"/>
          <w:szCs w:val="28"/>
        </w:rPr>
        <w:t>para basta para configuração do crime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. </w:t>
      </w:r>
    </w:p>
    <w:p w:rsidR="00A63214" w:rsidRPr="00F513BF" w:rsidRDefault="002D5C16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Dentre as </w:t>
      </w:r>
      <w:r w:rsidR="008303FE" w:rsidRPr="00F513BF">
        <w:rPr>
          <w:rFonts w:eastAsia="Times New Roman"/>
          <w:color w:val="606060"/>
          <w:sz w:val="28"/>
          <w:szCs w:val="28"/>
        </w:rPr>
        <w:t xml:space="preserve">sanções judiciais </w:t>
      </w:r>
      <w:r w:rsidRPr="00F513BF">
        <w:rPr>
          <w:rFonts w:eastAsia="Times New Roman"/>
          <w:color w:val="606060"/>
          <w:sz w:val="28"/>
          <w:szCs w:val="28"/>
        </w:rPr>
        <w:t>podemos destacar</w:t>
      </w:r>
      <w:r w:rsidR="008303FE" w:rsidRPr="00F513BF">
        <w:rPr>
          <w:rFonts w:eastAsia="Times New Roman"/>
          <w:color w:val="606060"/>
          <w:sz w:val="28"/>
          <w:szCs w:val="28"/>
        </w:rPr>
        <w:t>:</w:t>
      </w:r>
    </w:p>
    <w:p w:rsidR="008303FE" w:rsidRPr="00F513BF" w:rsidRDefault="002D5C16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Perda</w:t>
      </w:r>
      <w:r w:rsidR="00A701A5" w:rsidRPr="00F513BF">
        <w:rPr>
          <w:rFonts w:eastAsia="Times New Roman"/>
          <w:color w:val="606060"/>
          <w:sz w:val="28"/>
          <w:szCs w:val="28"/>
        </w:rPr>
        <w:t xml:space="preserve"> d</w:t>
      </w:r>
      <w:r w:rsidRPr="00F513BF">
        <w:rPr>
          <w:rFonts w:eastAsia="Times New Roman"/>
          <w:color w:val="606060"/>
          <w:sz w:val="28"/>
          <w:szCs w:val="28"/>
        </w:rPr>
        <w:t>e</w:t>
      </w:r>
      <w:r w:rsidR="00A701A5" w:rsidRPr="00F513BF">
        <w:rPr>
          <w:rFonts w:eastAsia="Times New Roman"/>
          <w:color w:val="606060"/>
          <w:sz w:val="28"/>
          <w:szCs w:val="28"/>
        </w:rPr>
        <w:t xml:space="preserve"> bens, direitos ou valores obtidos com a ação ilícita.</w:t>
      </w:r>
    </w:p>
    <w:p w:rsidR="008303FE" w:rsidRPr="00F513BF" w:rsidRDefault="008303FE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Suspensão ou interdição parcial de suas atividades</w:t>
      </w:r>
    </w:p>
    <w:p w:rsidR="008303FE" w:rsidRPr="00F513BF" w:rsidRDefault="008303FE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Dissolução compulsória da pessoa jurídica</w:t>
      </w:r>
    </w:p>
    <w:p w:rsidR="008303FE" w:rsidRPr="00F513BF" w:rsidRDefault="008303FE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lastRenderedPageBreak/>
        <w:t xml:space="preserve">Proibição de receber incentivos, subsídios, subvenções, doações ou empréstimos de órgãos públicos por até </w:t>
      </w:r>
      <w:proofErr w:type="gramStart"/>
      <w:r w:rsidRPr="00F513BF">
        <w:rPr>
          <w:rFonts w:eastAsia="Times New Roman"/>
          <w:color w:val="606060"/>
          <w:sz w:val="28"/>
          <w:szCs w:val="28"/>
        </w:rPr>
        <w:t>5</w:t>
      </w:r>
      <w:proofErr w:type="gramEnd"/>
      <w:r w:rsidRPr="00F513BF">
        <w:rPr>
          <w:rFonts w:eastAsia="Times New Roman"/>
          <w:color w:val="606060"/>
          <w:sz w:val="28"/>
          <w:szCs w:val="28"/>
        </w:rPr>
        <w:t xml:space="preserve"> anos. </w:t>
      </w:r>
    </w:p>
    <w:p w:rsidR="008303FE" w:rsidRPr="00F513BF" w:rsidRDefault="008303FE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 responsabilidade das pessoas jurídicas estabelecida pela Lei Anticorrupção não exclui a culpabilidade de seus dirigentes e administradores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, ou seja, </w:t>
      </w:r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as responsabilidades são independentes, estando </w:t>
      </w:r>
      <w:proofErr w:type="gramStart"/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>a</w:t>
      </w:r>
      <w:proofErr w:type="gramEnd"/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 pessoa jurídica sujeita às sanções administrativas e os gestores/administradores sujeitos à responsabilidade criminal</w:t>
      </w:r>
      <w:r w:rsidR="002D5C16"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. </w:t>
      </w:r>
    </w:p>
    <w:p w:rsidR="0082182D" w:rsidRPr="00F513BF" w:rsidRDefault="008303FE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</w:t>
      </w:r>
      <w:r w:rsidR="001E353C" w:rsidRPr="00F513BF">
        <w:rPr>
          <w:rFonts w:eastAsia="Times New Roman"/>
          <w:color w:val="606060"/>
          <w:sz w:val="28"/>
          <w:szCs w:val="28"/>
        </w:rPr>
        <w:t xml:space="preserve"> lei </w:t>
      </w:r>
      <w:r w:rsidR="002D5C16" w:rsidRPr="00F513BF">
        <w:rPr>
          <w:rFonts w:eastAsia="Times New Roman"/>
          <w:color w:val="606060"/>
          <w:sz w:val="28"/>
          <w:szCs w:val="28"/>
        </w:rPr>
        <w:t xml:space="preserve">também </w:t>
      </w:r>
      <w:r w:rsidR="001E353C" w:rsidRPr="00F513BF">
        <w:rPr>
          <w:rFonts w:eastAsia="Times New Roman"/>
          <w:color w:val="606060"/>
          <w:sz w:val="28"/>
          <w:szCs w:val="28"/>
        </w:rPr>
        <w:t>a</w:t>
      </w:r>
      <w:r w:rsidRPr="00F513BF">
        <w:rPr>
          <w:rFonts w:eastAsia="Times New Roman"/>
          <w:color w:val="606060"/>
          <w:sz w:val="28"/>
          <w:szCs w:val="28"/>
        </w:rPr>
        <w:t>tribui às empresas a responsabilidade pela fiscalização das a</w:t>
      </w:r>
      <w:r w:rsidR="003C1D91" w:rsidRPr="00F513BF">
        <w:rPr>
          <w:rFonts w:eastAsia="Times New Roman"/>
          <w:color w:val="606060"/>
          <w:sz w:val="28"/>
          <w:szCs w:val="28"/>
        </w:rPr>
        <w:t xml:space="preserve">tividades de seus funcionários e incentiva </w:t>
      </w:r>
      <w:r w:rsidR="0039698B" w:rsidRPr="00F513BF">
        <w:rPr>
          <w:rFonts w:eastAsia="Times New Roman"/>
          <w:color w:val="606060"/>
          <w:sz w:val="28"/>
          <w:szCs w:val="28"/>
        </w:rPr>
        <w:t>a criação de</w:t>
      </w:r>
      <w:r w:rsidRPr="00F513BF">
        <w:rPr>
          <w:rFonts w:eastAsia="Times New Roman"/>
          <w:color w:val="606060"/>
          <w:sz w:val="28"/>
          <w:szCs w:val="28"/>
        </w:rPr>
        <w:t xml:space="preserve"> um departamento de </w:t>
      </w:r>
      <w:r w:rsidRPr="00F513BF">
        <w:rPr>
          <w:rFonts w:eastAsia="Times New Roman"/>
          <w:i/>
          <w:color w:val="606060"/>
          <w:sz w:val="28"/>
          <w:szCs w:val="28"/>
        </w:rPr>
        <w:t>Compliance</w:t>
      </w:r>
      <w:r w:rsidRPr="00F513BF">
        <w:rPr>
          <w:rFonts w:eastAsia="Times New Roman"/>
          <w:color w:val="606060"/>
          <w:sz w:val="28"/>
          <w:szCs w:val="28"/>
        </w:rPr>
        <w:t xml:space="preserve">, com </w:t>
      </w:r>
      <w:r w:rsidR="0039698B" w:rsidRPr="00F513BF">
        <w:rPr>
          <w:rFonts w:eastAsia="Times New Roman"/>
          <w:color w:val="606060"/>
          <w:sz w:val="28"/>
          <w:szCs w:val="28"/>
        </w:rPr>
        <w:t>n</w:t>
      </w:r>
      <w:r w:rsidR="002D5C16" w:rsidRPr="00F513BF">
        <w:rPr>
          <w:rFonts w:eastAsia="Times New Roman"/>
          <w:color w:val="606060"/>
          <w:sz w:val="28"/>
          <w:szCs w:val="28"/>
        </w:rPr>
        <w:t>ormas e guias de boas práticas, ou seja, houve a pulverização das medidas de</w:t>
      </w:r>
      <w:r w:rsidR="00145A82" w:rsidRPr="00F513BF">
        <w:rPr>
          <w:rFonts w:eastAsia="Times New Roman"/>
          <w:color w:val="606060"/>
          <w:sz w:val="28"/>
          <w:szCs w:val="28"/>
        </w:rPr>
        <w:t xml:space="preserve"> prevenção à</w:t>
      </w:r>
      <w:r w:rsidR="002D5C16" w:rsidRPr="00F513BF">
        <w:rPr>
          <w:rFonts w:eastAsia="Times New Roman"/>
          <w:color w:val="606060"/>
          <w:sz w:val="28"/>
          <w:szCs w:val="28"/>
        </w:rPr>
        <w:t xml:space="preserve"> fraude.</w:t>
      </w:r>
    </w:p>
    <w:p w:rsidR="002D5C16" w:rsidRPr="00F513BF" w:rsidRDefault="002D5C16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</w:p>
    <w:p w:rsidR="0082182D" w:rsidRPr="00F513BF" w:rsidRDefault="0082182D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b/>
          <w:color w:val="606060"/>
          <w:sz w:val="28"/>
          <w:szCs w:val="28"/>
          <w:u w:val="single"/>
        </w:rPr>
        <w:t>DO ACORDO DE LENIÊNCIA</w:t>
      </w:r>
    </w:p>
    <w:p w:rsidR="0039698B" w:rsidRPr="00F513BF" w:rsidRDefault="002D5C16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>De acordo com o a</w:t>
      </w:r>
      <w:r w:rsidR="0039698B" w:rsidRPr="00F513BF">
        <w:rPr>
          <w:rFonts w:eastAsia="Times New Roman"/>
          <w:color w:val="606060"/>
          <w:sz w:val="28"/>
          <w:szCs w:val="28"/>
        </w:rPr>
        <w:t>rtigo 16</w:t>
      </w:r>
      <w:r w:rsidRPr="00F513BF">
        <w:rPr>
          <w:rFonts w:eastAsia="Times New Roman"/>
          <w:color w:val="606060"/>
          <w:sz w:val="28"/>
          <w:szCs w:val="28"/>
        </w:rPr>
        <w:t xml:space="preserve"> da referida lei, a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 autoridade máxima de cada órgão ou entidade pública poderá celebrar acordo de leniência com as pessoas jurídicas </w:t>
      </w:r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>responsáveis</w:t>
      </w:r>
      <w:r w:rsidR="0039698B" w:rsidRPr="00F513BF">
        <w:rPr>
          <w:rFonts w:eastAsia="Times New Roman"/>
          <w:color w:val="606060"/>
          <w:sz w:val="28"/>
          <w:szCs w:val="28"/>
        </w:rPr>
        <w:t xml:space="preserve"> pela prática dos atos previstos nesta lei que </w:t>
      </w:r>
      <w:r w:rsidR="0039698B" w:rsidRPr="00F513BF">
        <w:rPr>
          <w:rFonts w:eastAsia="Times New Roman"/>
          <w:b/>
          <w:color w:val="606060"/>
          <w:sz w:val="28"/>
          <w:szCs w:val="28"/>
          <w:u w:val="single"/>
        </w:rPr>
        <w:t>colaborarem efetivamente com as investigações e o processo administrativo, sendo que essa colaboração resulte:</w:t>
      </w:r>
    </w:p>
    <w:p w:rsidR="0039698B" w:rsidRPr="00F513BF" w:rsidRDefault="00145A82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 identificação dos demais envolvidos na infração, quando couber; e,</w:t>
      </w:r>
    </w:p>
    <w:p w:rsidR="00145A82" w:rsidRPr="00F513BF" w:rsidRDefault="00145A82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 obtenção célere de informações e documentos que comprovem o ilícito </w:t>
      </w:r>
      <w:proofErr w:type="gramStart"/>
      <w:r w:rsidRPr="00F513BF">
        <w:rPr>
          <w:rFonts w:eastAsia="Times New Roman"/>
          <w:color w:val="606060"/>
          <w:sz w:val="28"/>
          <w:szCs w:val="28"/>
        </w:rPr>
        <w:t>sob apuração</w:t>
      </w:r>
      <w:proofErr w:type="gramEnd"/>
      <w:r w:rsidRPr="00F513BF">
        <w:rPr>
          <w:rFonts w:eastAsia="Times New Roman"/>
          <w:color w:val="606060"/>
          <w:sz w:val="28"/>
          <w:szCs w:val="28"/>
        </w:rPr>
        <w:t xml:space="preserve">; </w:t>
      </w:r>
    </w:p>
    <w:p w:rsidR="00145A82" w:rsidRPr="00F513BF" w:rsidRDefault="002D5C16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Para efetivação do acordo de leniência devem ser observados os seguintes requisitos</w:t>
      </w:r>
      <w:r w:rsidR="00145A82" w:rsidRPr="00F513BF">
        <w:rPr>
          <w:rFonts w:eastAsia="Times New Roman"/>
          <w:color w:val="606060"/>
          <w:sz w:val="28"/>
          <w:szCs w:val="28"/>
        </w:rPr>
        <w:t xml:space="preserve">: </w:t>
      </w:r>
    </w:p>
    <w:p w:rsidR="00145A82" w:rsidRPr="00F513BF" w:rsidRDefault="00145A82" w:rsidP="00F513BF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lastRenderedPageBreak/>
        <w:t xml:space="preserve">Pessoa jurídica seja a primeira a se manifestar sobre seu interesse em cooperar para apuração do ato ilícito; </w:t>
      </w:r>
    </w:p>
    <w:p w:rsidR="00145A82" w:rsidRPr="00F513BF" w:rsidRDefault="00145A82" w:rsidP="00F513BF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Cesse completamente seu envolvimento na infração</w:t>
      </w:r>
    </w:p>
    <w:p w:rsidR="00145A82" w:rsidRPr="00F513BF" w:rsidRDefault="00145A82" w:rsidP="00F513BF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Necessária </w:t>
      </w:r>
      <w:proofErr w:type="gramStart"/>
      <w:r w:rsidRPr="00F513BF">
        <w:rPr>
          <w:rFonts w:eastAsia="Times New Roman"/>
          <w:color w:val="606060"/>
          <w:sz w:val="28"/>
          <w:szCs w:val="28"/>
        </w:rPr>
        <w:t>a</w:t>
      </w:r>
      <w:proofErr w:type="gramEnd"/>
      <w:r w:rsidRPr="00F513BF">
        <w:rPr>
          <w:rFonts w:eastAsia="Times New Roman"/>
          <w:color w:val="606060"/>
          <w:sz w:val="28"/>
          <w:szCs w:val="28"/>
        </w:rPr>
        <w:t xml:space="preserve"> confissão e cooperação para que utilize dos benefícios do acordo de leniência (isenção de algumas penas e redução de até 2/3 do valor da multa aplicável), sem prejuízo da reparação dos danos causados. </w:t>
      </w:r>
    </w:p>
    <w:p w:rsidR="0039698B" w:rsidRPr="00F513BF" w:rsidRDefault="00145A82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O simples acordo de leniência não importa </w:t>
      </w:r>
      <w:r w:rsidRPr="00F513BF">
        <w:rPr>
          <w:rFonts w:eastAsia="Times New Roman"/>
          <w:i/>
          <w:color w:val="606060"/>
          <w:sz w:val="28"/>
          <w:szCs w:val="28"/>
        </w:rPr>
        <w:t>de per si</w:t>
      </w:r>
      <w:r w:rsidRPr="00F513BF">
        <w:rPr>
          <w:rFonts w:eastAsia="Times New Roman"/>
          <w:color w:val="606060"/>
          <w:sz w:val="28"/>
          <w:szCs w:val="28"/>
        </w:rPr>
        <w:t xml:space="preserve"> no reconhecimento de responsabilidade criminal dos gestores, de modo que não pode ser negado o custeio de seus custos de defesa dos nomes envolvidos. </w:t>
      </w:r>
    </w:p>
    <w:p w:rsidR="00145A82" w:rsidRPr="00F513BF" w:rsidRDefault="00145A82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Há de ser considerado ainda que, em razão da responsabilidade objetiva da pessoa jurídica, existe a possibilidade de que o gestor que esteja respondendo ao processo no momento, não necessariamente foi aquele que iniciou o processo delitivo. </w:t>
      </w:r>
    </w:p>
    <w:p w:rsidR="00145A82" w:rsidRPr="00F513BF" w:rsidRDefault="00145A82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Posteriormente, caso se comprove a atitude dolosa do gestor/dirigente, temos um risco excluído do contrato de D&amp;O, sendo possível a negativa de indenização doravante. </w:t>
      </w:r>
    </w:p>
    <w:p w:rsidR="002D0638" w:rsidRPr="00F513BF" w:rsidRDefault="003C1D91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As discussões e aplicações desta lei ainda são muito precoces e todos os olhares estão voltados para ela, longe de se ter um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a definição. Refletindo sobre a questão, verificamos que o </w:t>
      </w:r>
      <w:r w:rsidR="002D0638" w:rsidRPr="00F513BF">
        <w:rPr>
          <w:rFonts w:eastAsia="Times New Roman"/>
          <w:color w:val="606060"/>
          <w:sz w:val="28"/>
          <w:szCs w:val="28"/>
        </w:rPr>
        <w:t>artigo 5º da Circular Susep 437/2012 dispõe:</w:t>
      </w:r>
    </w:p>
    <w:p w:rsidR="002D0638" w:rsidRPr="00F513BF" w:rsidRDefault="002D0638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O Seguro de Responsabilidade Civil é aquele que garante ao Segurado, quando responsabilizado por danos causados a terceiros, o reembolso das indenizações que for obrigado a pagar, a título de reparação, por sentença judicial transitada em julgado, ou por acordo com os terceiros </w:t>
      </w:r>
      <w:r w:rsidRPr="00F513BF">
        <w:rPr>
          <w:rFonts w:eastAsia="Times New Roman"/>
          <w:color w:val="606060"/>
          <w:sz w:val="28"/>
          <w:szCs w:val="28"/>
        </w:rPr>
        <w:lastRenderedPageBreak/>
        <w:t xml:space="preserve">prejudicados, com a anuência da Sociedade Seguradora,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desde que atendidas </w:t>
      </w:r>
      <w:proofErr w:type="gramStart"/>
      <w:r w:rsidRPr="00F513BF">
        <w:rPr>
          <w:rFonts w:eastAsia="Times New Roman"/>
          <w:b/>
          <w:color w:val="606060"/>
          <w:sz w:val="28"/>
          <w:szCs w:val="28"/>
          <w:u w:val="single"/>
        </w:rPr>
        <w:t>as</w:t>
      </w:r>
      <w:proofErr w:type="gramEnd"/>
      <w:r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 disposições do contrato.</w:t>
      </w:r>
    </w:p>
    <w:p w:rsidR="002D0638" w:rsidRPr="00F513BF" w:rsidRDefault="002D0638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O site da Susep disponibiliza as Condições Contratuais padronizadas do Seguro de Responsabilidade Civil Geral, utilizada para fins deste estudo por possuir um caráter mais abrangente</w:t>
      </w:r>
      <w:r w:rsidR="00EB372E" w:rsidRPr="00F513BF">
        <w:rPr>
          <w:rFonts w:eastAsia="Times New Roman"/>
          <w:color w:val="606060"/>
          <w:sz w:val="28"/>
          <w:szCs w:val="28"/>
        </w:rPr>
        <w:t xml:space="preserve"> (aproximadamente 300 cláusulas específicas)</w:t>
      </w:r>
      <w:r w:rsidR="002D5C16" w:rsidRPr="00F513BF">
        <w:rPr>
          <w:rFonts w:eastAsia="Times New Roman"/>
          <w:color w:val="606060"/>
          <w:sz w:val="28"/>
          <w:szCs w:val="28"/>
        </w:rPr>
        <w:t>. I</w:t>
      </w:r>
      <w:r w:rsidRPr="00F513BF">
        <w:rPr>
          <w:rFonts w:eastAsia="Times New Roman"/>
          <w:color w:val="606060"/>
          <w:sz w:val="28"/>
          <w:szCs w:val="28"/>
        </w:rPr>
        <w:t xml:space="preserve">nobstante, as conclusões deste estudo podem ser aplicadas às demais modalidades de responsabilidade civil. </w:t>
      </w:r>
    </w:p>
    <w:p w:rsidR="004E1DDA" w:rsidRPr="00F513BF" w:rsidRDefault="00425ACC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b/>
          <w:color w:val="606060"/>
          <w:sz w:val="28"/>
          <w:szCs w:val="28"/>
          <w:u w:val="single"/>
        </w:rPr>
        <w:t>DEFINIÇÕES SUSEP:</w:t>
      </w:r>
    </w:p>
    <w:p w:rsidR="004E1DDA" w:rsidRPr="00F513BF" w:rsidRDefault="004E1DDA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ATO ILÍCITO / ATO DANOSO: ação ou omissão voluntária, negligência ou imprudência, que viole direito e cause dano a outrem, ainda que exclusivamente moral. </w:t>
      </w:r>
    </w:p>
    <w:p w:rsidR="004E1DDA" w:rsidRPr="00F513BF" w:rsidRDefault="004E1DDA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ATO (ILÍCITO) CULPOSO: ações ou omissões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>involuntárias</w:t>
      </w:r>
      <w:r w:rsidRPr="00F513BF">
        <w:rPr>
          <w:rFonts w:eastAsia="Times New Roman"/>
          <w:color w:val="606060"/>
          <w:sz w:val="28"/>
          <w:szCs w:val="28"/>
        </w:rPr>
        <w:t xml:space="preserve">, que violem direito e causem dano a outrem, ainda que exclusivamente moral, decorrentes de negligência ou imprudência do responsável, pessoa ou empresa. Observação: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o comportamento negligente ou imprudente, em si, sem que dele resulte dano, não é ato ilícito culposo. </w:t>
      </w:r>
      <w:r w:rsidRPr="00F513BF">
        <w:rPr>
          <w:rFonts w:eastAsia="Times New Roman"/>
          <w:color w:val="606060"/>
          <w:sz w:val="28"/>
          <w:szCs w:val="28"/>
        </w:rPr>
        <w:t xml:space="preserve">Este é cometido, se, involuntariamente, como consequência direta de negligência ou imprudência, for violado direito e/ou causado dano. </w:t>
      </w:r>
    </w:p>
    <w:p w:rsidR="004E1DDA" w:rsidRPr="00F513BF" w:rsidRDefault="004E1DDA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ATO (ILÍCITO) DOLOSO: ações ou omissões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>voluntárias</w:t>
      </w:r>
      <w:r w:rsidRPr="00F513BF">
        <w:rPr>
          <w:rFonts w:eastAsia="Times New Roman"/>
          <w:color w:val="606060"/>
          <w:sz w:val="28"/>
          <w:szCs w:val="28"/>
        </w:rPr>
        <w:t xml:space="preserve">, que violem direito e/ou causem dano a outrem, ainda que exclusivamente moral. </w:t>
      </w:r>
    </w:p>
    <w:p w:rsidR="004E1DDA" w:rsidRPr="00F513BF" w:rsidRDefault="004E1DDA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CULPA: Na responsabilidade civil, os atos ilícitos praticados por outrem ou por aqueles pelos quais é o mesmo responsável, são </w:t>
      </w:r>
      <w:r w:rsidRPr="00F513BF">
        <w:rPr>
          <w:rFonts w:eastAsia="Times New Roman"/>
          <w:color w:val="606060"/>
          <w:sz w:val="28"/>
          <w:szCs w:val="28"/>
        </w:rPr>
        <w:lastRenderedPageBreak/>
        <w:t>classificados como dolosos ou culposos. Os atos ilícitos culposos estão associados a um comportamento negligente ou imprudente. Nestes casos, diz-se que há culpa em sentido estrito (</w:t>
      </w:r>
      <w:r w:rsidRPr="00F513BF">
        <w:rPr>
          <w:rFonts w:eastAsia="Times New Roman"/>
          <w:i/>
          <w:color w:val="606060"/>
          <w:sz w:val="28"/>
          <w:szCs w:val="28"/>
        </w:rPr>
        <w:t>stricto sensu</w:t>
      </w:r>
      <w:r w:rsidRPr="00F513BF">
        <w:rPr>
          <w:rFonts w:eastAsia="Times New Roman"/>
          <w:color w:val="606060"/>
          <w:sz w:val="28"/>
          <w:szCs w:val="28"/>
        </w:rPr>
        <w:t>). Em sentido amplo (</w:t>
      </w:r>
      <w:r w:rsidRPr="00F513BF">
        <w:rPr>
          <w:rFonts w:eastAsia="Times New Roman"/>
          <w:i/>
          <w:color w:val="606060"/>
          <w:sz w:val="28"/>
          <w:szCs w:val="28"/>
        </w:rPr>
        <w:t>lato sensu</w:t>
      </w:r>
      <w:r w:rsidRPr="00F513BF">
        <w:rPr>
          <w:rFonts w:eastAsia="Times New Roman"/>
          <w:color w:val="606060"/>
          <w:sz w:val="28"/>
          <w:szCs w:val="28"/>
        </w:rPr>
        <w:t xml:space="preserve">) diz-se que o responsável por um ato ilícito agiu com culpa, ou tem culpa, independente de seu ato ter sido doloso ou culposo. </w:t>
      </w:r>
      <w:r w:rsidRPr="00F513BF">
        <w:rPr>
          <w:rFonts w:eastAsia="Times New Roman"/>
          <w:i/>
          <w:color w:val="606060"/>
          <w:sz w:val="28"/>
          <w:szCs w:val="28"/>
          <w:u w:val="single"/>
        </w:rPr>
        <w:t>Portanto, no sentido amplo</w:t>
      </w:r>
      <w:r w:rsidR="00756839" w:rsidRPr="00F513BF">
        <w:rPr>
          <w:rFonts w:eastAsia="Times New Roman"/>
          <w:i/>
          <w:color w:val="606060"/>
          <w:sz w:val="28"/>
          <w:szCs w:val="28"/>
          <w:u w:val="single"/>
        </w:rPr>
        <w:t>, culpa tem dois significados: dolo, ou culpa no sentido estrito.</w:t>
      </w:r>
      <w:r w:rsidR="00756839" w:rsidRPr="00F513BF">
        <w:rPr>
          <w:rFonts w:eastAsia="Times New Roman"/>
          <w:color w:val="606060"/>
          <w:sz w:val="28"/>
          <w:szCs w:val="28"/>
        </w:rPr>
        <w:t xml:space="preserve"> </w:t>
      </w:r>
    </w:p>
    <w:p w:rsidR="002D0638" w:rsidRPr="00F513BF" w:rsidRDefault="0009583E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Constitui risco excluído do contrato, para a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>Apólice à Base de Ocorrência</w:t>
      </w:r>
      <w:r w:rsidRPr="00F513BF">
        <w:rPr>
          <w:rFonts w:eastAsia="Times New Roman"/>
          <w:color w:val="606060"/>
          <w:sz w:val="28"/>
          <w:szCs w:val="28"/>
        </w:rPr>
        <w:t xml:space="preserve">, </w:t>
      </w:r>
      <w:r w:rsidRPr="00F513BF">
        <w:rPr>
          <w:rFonts w:eastAsia="Times New Roman"/>
          <w:color w:val="606060"/>
          <w:sz w:val="28"/>
          <w:szCs w:val="28"/>
          <w:u w:val="single"/>
        </w:rPr>
        <w:t xml:space="preserve">os atos ilícitos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>dolosos</w:t>
      </w:r>
      <w:r w:rsidRPr="00F513BF">
        <w:rPr>
          <w:rFonts w:eastAsia="Times New Roman"/>
          <w:color w:val="606060"/>
          <w:sz w:val="28"/>
          <w:szCs w:val="28"/>
          <w:u w:val="single"/>
        </w:rPr>
        <w:t xml:space="preserve"> praticados pelo segurado, pelo beneficiário ou pelo representante de um ou de outro; se o segurado for pessoa jurídica, a exclusão </w:t>
      </w:r>
      <w:r w:rsidR="002D5C16" w:rsidRPr="00F513BF">
        <w:rPr>
          <w:rFonts w:eastAsia="Times New Roman"/>
          <w:color w:val="606060"/>
          <w:sz w:val="28"/>
          <w:szCs w:val="28"/>
          <w:u w:val="single"/>
        </w:rPr>
        <w:t>s</w:t>
      </w:r>
      <w:r w:rsidRPr="00F513BF">
        <w:rPr>
          <w:rFonts w:eastAsia="Times New Roman"/>
          <w:color w:val="606060"/>
          <w:sz w:val="28"/>
          <w:szCs w:val="28"/>
          <w:u w:val="single"/>
        </w:rPr>
        <w:t>e aplica aos sócios controladores da Empresa segurada, aos seus dirigentes e administradores, aos beneficiários e também aos respectivos representantes.</w:t>
      </w:r>
    </w:p>
    <w:p w:rsidR="0009583E" w:rsidRPr="00F513BF" w:rsidRDefault="0009583E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O contrato não indeniza, nem reembolsa </w:t>
      </w:r>
      <w:r w:rsidRPr="00F513BF">
        <w:rPr>
          <w:rFonts w:eastAsia="Times New Roman"/>
          <w:color w:val="606060"/>
          <w:sz w:val="28"/>
          <w:szCs w:val="28"/>
          <w:u w:val="single"/>
        </w:rPr>
        <w:t xml:space="preserve">as multas de qualquer natureza, impostas ao segurado, bem como, as indenizações punitivas e/ou exemplares as quais seja condenado pela justiça. </w:t>
      </w:r>
    </w:p>
    <w:p w:rsidR="0009583E" w:rsidRPr="00F513BF" w:rsidRDefault="0009583E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Pelo contrato, o segurado se obriga a dar imediato aviso da ocorrência </w:t>
      </w:r>
      <w:r w:rsidRPr="00F513BF">
        <w:rPr>
          <w:rFonts w:eastAsia="Times New Roman"/>
          <w:color w:val="606060"/>
          <w:sz w:val="28"/>
          <w:szCs w:val="28"/>
          <w:u w:val="single"/>
        </w:rPr>
        <w:t xml:space="preserve">de qualquer evento </w:t>
      </w:r>
      <w:r w:rsidRPr="00F513BF">
        <w:rPr>
          <w:rFonts w:eastAsia="Times New Roman"/>
          <w:color w:val="606060"/>
          <w:sz w:val="28"/>
          <w:szCs w:val="28"/>
        </w:rPr>
        <w:t>que possam acarretar a reinvindicação de qualquer garantia, tão logo dele tome conhecimento</w:t>
      </w:r>
      <w:r w:rsidR="004E1DDA" w:rsidRPr="00F513BF">
        <w:rPr>
          <w:rFonts w:eastAsia="Times New Roman"/>
          <w:color w:val="606060"/>
          <w:sz w:val="28"/>
          <w:szCs w:val="28"/>
        </w:rPr>
        <w:t xml:space="preserve">, adotando todas as medidas inadiáveis e ao seu alcance, para tentar evitar e/ou minorar os danos causados a terceiros. </w:t>
      </w:r>
    </w:p>
    <w:p w:rsidR="004E1DDA" w:rsidRPr="00F513BF" w:rsidRDefault="004E1DDA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Durante o curso de ação civil (ou penal) é </w:t>
      </w:r>
      <w:r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vedado ao segurado transigir, pagar ou tomar outras providências que possam influir no resultado das negociações ou litígios, em especial reconhecer sua responsabilidade ou confessar a ação, salvo se tiver a anuência expressa da seguradora. </w:t>
      </w:r>
    </w:p>
    <w:p w:rsidR="0009583E" w:rsidRPr="00F513BF" w:rsidRDefault="002D5C16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lastRenderedPageBreak/>
        <w:tab/>
        <w:t>Porém, n</w:t>
      </w:r>
      <w:r w:rsidR="00756839" w:rsidRPr="00F513BF">
        <w:rPr>
          <w:rFonts w:eastAsia="Times New Roman"/>
          <w:color w:val="606060"/>
          <w:sz w:val="28"/>
          <w:szCs w:val="28"/>
        </w:rPr>
        <w:t xml:space="preserve">as condições gerais padronizadas das apólices à </w:t>
      </w:r>
      <w:r w:rsidRPr="00F513BF">
        <w:rPr>
          <w:rFonts w:eastAsia="Times New Roman"/>
          <w:color w:val="606060"/>
          <w:sz w:val="28"/>
          <w:szCs w:val="28"/>
        </w:rPr>
        <w:t>B</w:t>
      </w:r>
      <w:r w:rsidR="00756839" w:rsidRPr="00F513BF">
        <w:rPr>
          <w:rFonts w:eastAsia="Times New Roman"/>
          <w:color w:val="606060"/>
          <w:sz w:val="28"/>
          <w:szCs w:val="28"/>
        </w:rPr>
        <w:t>ase de Reclamação (</w:t>
      </w:r>
      <w:r w:rsidR="00756839" w:rsidRPr="00F513BF">
        <w:rPr>
          <w:rFonts w:eastAsia="Times New Roman"/>
          <w:i/>
          <w:color w:val="606060"/>
          <w:sz w:val="28"/>
          <w:szCs w:val="28"/>
        </w:rPr>
        <w:t xml:space="preserve">claims made basis) </w:t>
      </w:r>
      <w:r w:rsidR="00756839" w:rsidRPr="00F513BF">
        <w:rPr>
          <w:rFonts w:eastAsia="Times New Roman"/>
          <w:color w:val="606060"/>
          <w:sz w:val="28"/>
          <w:szCs w:val="28"/>
        </w:rPr>
        <w:t xml:space="preserve">verificamos que o segurado terá direito à garantia, ainda que os danos decorram de: </w:t>
      </w:r>
    </w:p>
    <w:p w:rsidR="00756839" w:rsidRPr="00F513BF" w:rsidRDefault="00756839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b/>
          <w:color w:val="606060"/>
          <w:sz w:val="28"/>
          <w:szCs w:val="28"/>
          <w:u w:val="single"/>
        </w:rPr>
      </w:pPr>
      <w:r w:rsidRPr="00F513BF">
        <w:rPr>
          <w:rFonts w:eastAsia="Times New Roman"/>
          <w:b/>
          <w:color w:val="606060"/>
          <w:sz w:val="28"/>
          <w:szCs w:val="28"/>
          <w:u w:val="single"/>
        </w:rPr>
        <w:t xml:space="preserve">Atos ilícitos, culposos ou dolosos, praticados por empregados do segurado, ou ainda, por pessoas a eles assemelhadas; </w:t>
      </w:r>
    </w:p>
    <w:p w:rsidR="00756839" w:rsidRPr="00F513BF" w:rsidRDefault="00756839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Atos ilícitos culposos, praticados pelo segurado, beneficiário ou pelo representante, de um ou de outro, se o segurado for pessoa física, exceto no caso de culpa grave equiparável a atos ilícitos dolosos; </w:t>
      </w:r>
    </w:p>
    <w:p w:rsidR="00756839" w:rsidRPr="00F513BF" w:rsidRDefault="00756839" w:rsidP="00F513BF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0"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Atos ilícitos culposos, praticados pelos sócios controladores, dirigentes, administradores, beneficiários e respectivos representantes, se o segurado for pessoa jurídica, excesso no caso de culpa grave equiparável a atos ilícitos dolosos.</w:t>
      </w:r>
    </w:p>
    <w:p w:rsidR="00145A82" w:rsidRPr="00F513BF" w:rsidRDefault="00756839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Apesar dessa disposição, restam excluídas as coberturas de multas de quaisquer naturezas, bem como, indenizações punitivas, bem como, acordo sem anuência da seguradora. </w:t>
      </w:r>
    </w:p>
    <w:p w:rsidR="000D5BDF" w:rsidRPr="00F513BF" w:rsidRDefault="001E353C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Assim, podemos concluir que apesar da </w:t>
      </w:r>
      <w:r w:rsidR="00756839" w:rsidRPr="00F513BF">
        <w:rPr>
          <w:rFonts w:eastAsia="Times New Roman"/>
          <w:color w:val="606060"/>
          <w:sz w:val="28"/>
          <w:szCs w:val="28"/>
        </w:rPr>
        <w:t>lei Anticorrupção responsabiliza</w:t>
      </w:r>
      <w:r w:rsidRPr="00F513BF">
        <w:rPr>
          <w:rFonts w:eastAsia="Times New Roman"/>
          <w:color w:val="606060"/>
          <w:sz w:val="28"/>
          <w:szCs w:val="28"/>
        </w:rPr>
        <w:t>r</w:t>
      </w:r>
      <w:r w:rsidR="00756839" w:rsidRPr="00F513BF">
        <w:rPr>
          <w:rFonts w:eastAsia="Times New Roman"/>
          <w:color w:val="606060"/>
          <w:sz w:val="28"/>
          <w:szCs w:val="28"/>
        </w:rPr>
        <w:t xml:space="preserve"> </w:t>
      </w:r>
      <w:r w:rsidR="000D5BDF" w:rsidRPr="00F513BF">
        <w:rPr>
          <w:rFonts w:eastAsia="Times New Roman"/>
          <w:color w:val="606060"/>
          <w:sz w:val="28"/>
          <w:szCs w:val="28"/>
        </w:rPr>
        <w:t xml:space="preserve">a pessoa jurídica de forma </w:t>
      </w:r>
      <w:r w:rsidR="00756839" w:rsidRPr="00F513BF">
        <w:rPr>
          <w:rFonts w:eastAsia="Times New Roman"/>
          <w:color w:val="606060"/>
          <w:sz w:val="28"/>
          <w:szCs w:val="28"/>
        </w:rPr>
        <w:t xml:space="preserve">objetiva, </w:t>
      </w:r>
      <w:r w:rsidR="000D5BDF" w:rsidRPr="00F513BF">
        <w:rPr>
          <w:rFonts w:eastAsia="Times New Roman"/>
          <w:color w:val="606060"/>
          <w:sz w:val="28"/>
          <w:szCs w:val="28"/>
        </w:rPr>
        <w:t xml:space="preserve">para fins de cobertura securitária no âmbito da Responsabilidade Civil, é imprescindível que seja realizada durante a regulação de sinistro </w:t>
      </w:r>
      <w:r w:rsidR="000D5BDF" w:rsidRPr="00F513BF">
        <w:rPr>
          <w:rFonts w:eastAsia="Times New Roman"/>
          <w:b/>
          <w:color w:val="606060"/>
          <w:sz w:val="28"/>
          <w:szCs w:val="28"/>
          <w:u w:val="single"/>
        </w:rPr>
        <w:t>a apuração de culpa e/ou dolo</w:t>
      </w:r>
      <w:r w:rsidR="000D5BDF" w:rsidRPr="00F513BF">
        <w:rPr>
          <w:rFonts w:eastAsia="Times New Roman"/>
          <w:color w:val="606060"/>
          <w:sz w:val="28"/>
          <w:szCs w:val="28"/>
        </w:rPr>
        <w:t xml:space="preserve"> do segurado na ocorrência de ato suscetível de cobertura na apólice, </w:t>
      </w:r>
      <w:r w:rsidR="000D5BDF" w:rsidRPr="00F513BF">
        <w:rPr>
          <w:rFonts w:eastAsia="Times New Roman"/>
          <w:b/>
          <w:color w:val="606060"/>
          <w:sz w:val="28"/>
          <w:szCs w:val="28"/>
          <w:u w:val="single"/>
        </w:rPr>
        <w:t>com a identificação da participação culposa ou dolosa de cada personagem envolvido no evento</w:t>
      </w:r>
      <w:r w:rsidR="000D5BDF" w:rsidRPr="00F513BF">
        <w:rPr>
          <w:rFonts w:eastAsia="Times New Roman"/>
          <w:color w:val="606060"/>
          <w:sz w:val="28"/>
          <w:szCs w:val="28"/>
        </w:rPr>
        <w:t xml:space="preserve">. </w:t>
      </w:r>
    </w:p>
    <w:p w:rsidR="000D5BDF" w:rsidRPr="00F513BF" w:rsidRDefault="000D5BDF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A previsão de cobertura securitária para danos decorrentes de atos dolosos cometid</w:t>
      </w:r>
      <w:r w:rsidR="001E353C" w:rsidRPr="00F513BF">
        <w:rPr>
          <w:rFonts w:eastAsia="Times New Roman"/>
          <w:color w:val="606060"/>
          <w:sz w:val="28"/>
          <w:szCs w:val="28"/>
        </w:rPr>
        <w:t>o</w:t>
      </w:r>
      <w:r w:rsidRPr="00F513BF">
        <w:rPr>
          <w:rFonts w:eastAsia="Times New Roman"/>
          <w:color w:val="606060"/>
          <w:sz w:val="28"/>
          <w:szCs w:val="28"/>
        </w:rPr>
        <w:t xml:space="preserve">s por empregados, </w:t>
      </w:r>
      <w:r w:rsidR="001E353C" w:rsidRPr="00F513BF">
        <w:rPr>
          <w:rFonts w:eastAsia="Times New Roman"/>
          <w:color w:val="606060"/>
          <w:sz w:val="28"/>
          <w:szCs w:val="28"/>
        </w:rPr>
        <w:t>sob a ótica</w:t>
      </w:r>
      <w:r w:rsidRPr="00F513BF">
        <w:rPr>
          <w:rFonts w:eastAsia="Times New Roman"/>
          <w:color w:val="606060"/>
          <w:sz w:val="28"/>
          <w:szCs w:val="28"/>
        </w:rPr>
        <w:t xml:space="preserve"> da lei anticorrupção, coloca a seguradora em posição de desvantagem, facilitando que os </w:t>
      </w:r>
      <w:r w:rsidRPr="00F513BF">
        <w:rPr>
          <w:rFonts w:eastAsia="Times New Roman"/>
          <w:color w:val="606060"/>
          <w:sz w:val="28"/>
          <w:szCs w:val="28"/>
        </w:rPr>
        <w:lastRenderedPageBreak/>
        <w:t xml:space="preserve">empregados sejam </w:t>
      </w:r>
      <w:r w:rsidR="001E353C" w:rsidRPr="00F513BF">
        <w:rPr>
          <w:rFonts w:eastAsia="Times New Roman"/>
          <w:color w:val="606060"/>
          <w:sz w:val="28"/>
          <w:szCs w:val="28"/>
        </w:rPr>
        <w:t xml:space="preserve">utilizados por seus gestores para fins ilícitos, sem prejuízo das indenizações securitárias. </w:t>
      </w:r>
    </w:p>
    <w:p w:rsidR="001E353C" w:rsidRPr="00F513BF" w:rsidRDefault="001E353C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 xml:space="preserve">Os acordos de leniência, por si só, não podem ser considerados como excludente do seguro, na medida em que implicam na imediata cessação da infração minimizando os riscos do ilícito. </w:t>
      </w:r>
      <w:r w:rsidR="0082182D" w:rsidRPr="00F513BF">
        <w:rPr>
          <w:rFonts w:eastAsia="Times New Roman"/>
          <w:color w:val="606060"/>
          <w:sz w:val="28"/>
          <w:szCs w:val="28"/>
        </w:rPr>
        <w:t xml:space="preserve">Nesse aspecto cabe o questionamento se referido acordo não seria - de certa forma - benéfico ao contrato de seguro, ou ainda cumprimento de cláusula contratual que impõe ao segurado a obrigação de minimizar os prejuízos advindos do sinistro. </w:t>
      </w:r>
    </w:p>
    <w:p w:rsidR="001E353C" w:rsidRPr="00F513BF" w:rsidRDefault="0082182D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Inobstante, é preciso verificar eventual necessidade de</w:t>
      </w:r>
      <w:r w:rsidR="001E353C" w:rsidRPr="00F513BF">
        <w:rPr>
          <w:rFonts w:eastAsia="Times New Roman"/>
          <w:color w:val="606060"/>
          <w:sz w:val="28"/>
          <w:szCs w:val="28"/>
        </w:rPr>
        <w:t xml:space="preserve"> prévia anuência da seguradora para que o segurado tenha sua garantia contratual. </w:t>
      </w:r>
    </w:p>
    <w:p w:rsidR="0039698B" w:rsidRPr="00F513BF" w:rsidRDefault="0082182D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  <w:r w:rsidRPr="00F513BF">
        <w:rPr>
          <w:rFonts w:eastAsia="Times New Roman"/>
          <w:color w:val="606060"/>
          <w:sz w:val="28"/>
          <w:szCs w:val="28"/>
        </w:rPr>
        <w:t>Em suma, es</w:t>
      </w:r>
      <w:r w:rsidR="002767CA" w:rsidRPr="00F513BF">
        <w:rPr>
          <w:rFonts w:eastAsia="Times New Roman"/>
          <w:color w:val="606060"/>
          <w:sz w:val="28"/>
          <w:szCs w:val="28"/>
        </w:rPr>
        <w:t xml:space="preserve">te é um momento em que o mercado segurador deve refletir sobre seus produtos e clausulados a fim de melhor precificar </w:t>
      </w:r>
      <w:r w:rsidR="00C96B64" w:rsidRPr="00F513BF">
        <w:rPr>
          <w:rFonts w:eastAsia="Times New Roman"/>
          <w:color w:val="606060"/>
          <w:sz w:val="28"/>
          <w:szCs w:val="28"/>
        </w:rPr>
        <w:t xml:space="preserve">e atender às demandas deste mercado crescente. </w:t>
      </w:r>
    </w:p>
    <w:p w:rsidR="00F513BF" w:rsidRPr="00F513BF" w:rsidRDefault="00F513BF" w:rsidP="00F513BF">
      <w:pPr>
        <w:spacing w:before="100" w:beforeAutospacing="1" w:after="100" w:afterAutospacing="1" w:line="360" w:lineRule="auto"/>
        <w:ind w:firstLine="1418"/>
        <w:jc w:val="both"/>
        <w:rPr>
          <w:rFonts w:eastAsia="Times New Roman"/>
          <w:color w:val="606060"/>
          <w:sz w:val="28"/>
          <w:szCs w:val="28"/>
        </w:rPr>
      </w:pPr>
    </w:p>
    <w:p w:rsidR="00F513BF" w:rsidRDefault="00F513BF" w:rsidP="0082182D">
      <w:pPr>
        <w:spacing w:before="100" w:beforeAutospacing="1" w:after="100" w:afterAutospacing="1" w:line="360" w:lineRule="auto"/>
        <w:ind w:firstLine="1418"/>
        <w:jc w:val="both"/>
        <w:rPr>
          <w:rFonts w:ascii="Trebuchet MS" w:eastAsia="Times New Roman" w:hAnsi="Trebuchet MS"/>
          <w:color w:val="606060"/>
          <w:sz w:val="22"/>
          <w:szCs w:val="22"/>
        </w:rPr>
      </w:pPr>
    </w:p>
    <w:p w:rsidR="00F513BF" w:rsidRPr="00F513BF" w:rsidRDefault="00F513BF" w:rsidP="0082182D">
      <w:pPr>
        <w:spacing w:before="100" w:beforeAutospacing="1" w:after="100" w:afterAutospacing="1" w:line="360" w:lineRule="auto"/>
        <w:ind w:firstLine="1418"/>
        <w:jc w:val="both"/>
        <w:rPr>
          <w:rFonts w:ascii="Trebuchet MS" w:eastAsia="Times New Roman" w:hAnsi="Trebuchet MS"/>
          <w:color w:val="606060"/>
          <w:sz w:val="16"/>
          <w:szCs w:val="16"/>
        </w:rPr>
      </w:pPr>
    </w:p>
    <w:p w:rsidR="00F513BF" w:rsidRPr="00F513BF" w:rsidRDefault="00F513BF" w:rsidP="0082182D">
      <w:pPr>
        <w:spacing w:before="100" w:beforeAutospacing="1" w:after="100" w:afterAutospacing="1" w:line="360" w:lineRule="auto"/>
        <w:ind w:firstLine="1418"/>
        <w:jc w:val="both"/>
        <w:rPr>
          <w:rFonts w:ascii="Trebuchet MS" w:eastAsia="Times New Roman" w:hAnsi="Trebuchet MS"/>
          <w:color w:val="606060"/>
          <w:sz w:val="16"/>
          <w:szCs w:val="16"/>
        </w:rPr>
      </w:pPr>
      <w:r w:rsidRPr="00F513BF">
        <w:rPr>
          <w:rFonts w:ascii="Trebuchet MS" w:eastAsia="Times New Roman" w:hAnsi="Trebuchet MS"/>
          <w:color w:val="606060"/>
          <w:sz w:val="16"/>
          <w:szCs w:val="16"/>
        </w:rPr>
        <w:t>Lei anticorrupção - reflexos Seguro RC</w:t>
      </w:r>
    </w:p>
    <w:sectPr w:rsidR="00F513BF" w:rsidRPr="00F51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437"/>
    <w:multiLevelType w:val="hybridMultilevel"/>
    <w:tmpl w:val="EA706282"/>
    <w:lvl w:ilvl="0" w:tplc="B65C9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455F3A"/>
    <w:multiLevelType w:val="hybridMultilevel"/>
    <w:tmpl w:val="2586CC26"/>
    <w:lvl w:ilvl="0" w:tplc="1A6E68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  <w:color w:val="606060"/>
        <w:sz w:val="22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6D121B8E"/>
    <w:multiLevelType w:val="multilevel"/>
    <w:tmpl w:val="92B4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F7E3D"/>
    <w:multiLevelType w:val="hybridMultilevel"/>
    <w:tmpl w:val="0D42DAC0"/>
    <w:lvl w:ilvl="0" w:tplc="809A3BAE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14"/>
    <w:rsid w:val="0009583E"/>
    <w:rsid w:val="000B5C30"/>
    <w:rsid w:val="000D5BDF"/>
    <w:rsid w:val="00145A82"/>
    <w:rsid w:val="001E353C"/>
    <w:rsid w:val="00252EC5"/>
    <w:rsid w:val="002767CA"/>
    <w:rsid w:val="002D0638"/>
    <w:rsid w:val="002D5C16"/>
    <w:rsid w:val="0039698B"/>
    <w:rsid w:val="003C1D91"/>
    <w:rsid w:val="003D7733"/>
    <w:rsid w:val="003E0CFF"/>
    <w:rsid w:val="00425ACC"/>
    <w:rsid w:val="00474CF1"/>
    <w:rsid w:val="004E1DDA"/>
    <w:rsid w:val="00705524"/>
    <w:rsid w:val="00756839"/>
    <w:rsid w:val="0082182D"/>
    <w:rsid w:val="008303FE"/>
    <w:rsid w:val="0096333D"/>
    <w:rsid w:val="00A63214"/>
    <w:rsid w:val="00A701A5"/>
    <w:rsid w:val="00C96B64"/>
    <w:rsid w:val="00D02253"/>
    <w:rsid w:val="00EB372E"/>
    <w:rsid w:val="00F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1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3214"/>
    <w:rPr>
      <w:b/>
      <w:bCs/>
    </w:rPr>
  </w:style>
  <w:style w:type="paragraph" w:styleId="PargrafodaLista">
    <w:name w:val="List Paragraph"/>
    <w:basedOn w:val="Normal"/>
    <w:uiPriority w:val="34"/>
    <w:qFormat/>
    <w:rsid w:val="00A632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03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3D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1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3214"/>
    <w:rPr>
      <w:b/>
      <w:bCs/>
    </w:rPr>
  </w:style>
  <w:style w:type="paragraph" w:styleId="PargrafodaLista">
    <w:name w:val="List Paragraph"/>
    <w:basedOn w:val="Normal"/>
    <w:uiPriority w:val="34"/>
    <w:qFormat/>
    <w:rsid w:val="00A632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03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3D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Sergio Mello</cp:lastModifiedBy>
  <cp:revision>4</cp:revision>
  <cp:lastPrinted>2015-06-24T11:14:00Z</cp:lastPrinted>
  <dcterms:created xsi:type="dcterms:W3CDTF">2015-07-02T14:15:00Z</dcterms:created>
  <dcterms:modified xsi:type="dcterms:W3CDTF">2015-07-02T14:16:00Z</dcterms:modified>
</cp:coreProperties>
</file>