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itemProps4.xml" ContentType="application/vnd.openxmlformats-officedocument.customXmlPropertie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4.xml" ContentType="application/xml"/>
  <Override PartName="/customXml/itemProps3.xml" ContentType="application/vnd.openxmlformats-officedocument.customXmlProperties+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jc w:val="center"/>
        <w:rPr>
          <w:rFonts w:ascii="Carlito" w:hAnsi="Carlito"/>
          <w:sz w:val="20"/>
          <w:szCs w:val="20"/>
        </w:rPr>
      </w:pPr>
      <w:r>
        <w:rPr>
          <w:rFonts w:cs="Arial" w:ascii="Carlito" w:hAnsi="Carlito"/>
          <w:b/>
          <w:bCs/>
          <w:iCs/>
          <w:color w:val="000000"/>
          <w:sz w:val="20"/>
          <w:szCs w:val="20"/>
        </w:rPr>
        <w:t>ATA DE REGISTRO DE PREÇOS</w:t>
      </w:r>
    </w:p>
    <w:p>
      <w:pPr>
        <w:pStyle w:val="Normal"/>
        <w:widowControl w:val="false"/>
        <w:spacing w:lineRule="auto" w:line="240"/>
        <w:ind w:right="-15" w:hanging="0"/>
        <w:jc w:val="center"/>
        <w:rPr>
          <w:rFonts w:ascii="Carlito" w:hAnsi="Carlito"/>
          <w:sz w:val="20"/>
          <w:szCs w:val="20"/>
        </w:rPr>
      </w:pPr>
      <w:r>
        <w:rPr>
          <w:rFonts w:cs="Arial" w:ascii="Carlito" w:hAnsi="Carlito"/>
          <w:i/>
          <w:color w:val="FF0000"/>
          <w:sz w:val="20"/>
          <w:szCs w:val="20"/>
        </w:rPr>
        <w:t>COMANDO DO 1º DISTRITO NAVAL</w:t>
      </w:r>
    </w:p>
    <w:p>
      <w:pPr>
        <w:pStyle w:val="Normal"/>
        <w:widowControl w:val="false"/>
        <w:spacing w:lineRule="auto" w:line="240"/>
        <w:ind w:right="-30" w:hanging="0"/>
        <w:jc w:val="center"/>
        <w:rPr>
          <w:rFonts w:ascii="Carlito" w:hAnsi="Carlito"/>
          <w:sz w:val="20"/>
          <w:szCs w:val="20"/>
        </w:rPr>
      </w:pPr>
      <w:r>
        <w:rPr>
          <w:rFonts w:cs="Arial" w:ascii="Carlito" w:hAnsi="Carlito"/>
          <w:sz w:val="20"/>
          <w:szCs w:val="20"/>
        </w:rPr>
        <w:t xml:space="preserve">ATA DE REGISTRO DE PREÇOS </w:t>
      </w:r>
    </w:p>
    <w:p>
      <w:pPr>
        <w:pStyle w:val="Normal"/>
        <w:widowControl w:val="false"/>
        <w:spacing w:lineRule="auto" w:line="240"/>
        <w:ind w:right="-30" w:hanging="0"/>
        <w:jc w:val="center"/>
        <w:rPr>
          <w:rFonts w:ascii="Carlito" w:hAnsi="Carlito"/>
          <w:sz w:val="20"/>
          <w:szCs w:val="20"/>
        </w:rPr>
      </w:pPr>
      <w:r>
        <w:rPr>
          <w:rFonts w:cs="Arial" w:ascii="Carlito" w:hAnsi="Carlito"/>
          <w:bCs/>
          <w:sz w:val="20"/>
          <w:szCs w:val="20"/>
        </w:rPr>
        <w:t>N.º .........</w:t>
      </w:r>
    </w:p>
    <w:p>
      <w:pPr>
        <w:pStyle w:val="Normal"/>
        <w:widowControl w:val="false"/>
        <w:spacing w:lineRule="auto" w:line="240"/>
        <w:ind w:right="-30" w:hanging="0"/>
        <w:jc w:val="both"/>
        <w:rPr>
          <w:rFonts w:ascii="Carlito" w:hAnsi="Carlito" w:cs="Arial"/>
          <w:sz w:val="20"/>
          <w:szCs w:val="20"/>
        </w:rPr>
      </w:pPr>
      <w:r>
        <w:rPr>
          <w:rFonts w:cs="Arial" w:ascii="Carlito" w:hAnsi="Carlito"/>
          <w:sz w:val="20"/>
          <w:szCs w:val="20"/>
        </w:rPr>
      </w:r>
    </w:p>
    <w:p>
      <w:pPr>
        <w:pStyle w:val="Normal"/>
        <w:widowControl w:val="false"/>
        <w:tabs>
          <w:tab w:val="center" w:pos="4779" w:leader="none"/>
          <w:tab w:val="right" w:pos="9198" w:leader="none"/>
        </w:tabs>
        <w:spacing w:lineRule="auto" w:line="240" w:before="120" w:after="120"/>
        <w:ind w:right="-28" w:firstLine="1418"/>
        <w:jc w:val="both"/>
        <w:rPr>
          <w:rFonts w:ascii="Carlito" w:hAnsi="Carlito"/>
          <w:sz w:val="20"/>
          <w:szCs w:val="20"/>
        </w:rPr>
      </w:pPr>
      <w:r>
        <w:rPr>
          <w:rFonts w:cs="Arial" w:ascii="Carlito" w:hAnsi="Carlito"/>
          <w:color w:val="000000"/>
          <w:sz w:val="20"/>
          <w:szCs w:val="20"/>
        </w:rPr>
        <w:t>O Comando do Primeiro Distrito Naval, com sede no(a) Praça Mauá, nº 65, Centro, 20081-240, na cidade de Rio de Janeiro inscrito(a) no CNPJ/MF sob o nº 00.394.502/0002-25, neste ato representado pelo CMG (IM) ANDERSON SOARES SILVA, nomeado(a) pela Portaria nº 193/Com1ºDN de 15 de fevereiro de 2023, portador do CPF nº 120.681.378-44, portador da carteira de identidade nº 536331-4/MB</w:t>
      </w:r>
      <w:r>
        <w:rPr>
          <w:rFonts w:cs="Arial" w:ascii="Carlito" w:hAnsi="Carlito"/>
          <w:sz w:val="20"/>
          <w:szCs w:val="20"/>
        </w:rPr>
        <w:t xml:space="preserve">, considerando o julgamento da licitação na modalidade de pregão, na forma eletrônica, para REGISTRO DE PREÇOS nº 23/2023, publicada no DOU de ...../...../202....., processo administrativo n.º 62002.003656/2023-16, RESOLVE registrar os preços da(s)  empresa(s) indicada(s) e qualificada(s) nesta ATA, de acordo com a classificação por ela(s) alcançada(s) e na(s)  quantidade(s)  cotada(s), atendendo as condições previstas no </w:t>
      </w:r>
      <w:r>
        <w:rPr>
          <w:rFonts w:cs="Arial" w:ascii="Carlito" w:hAnsi="Carlito"/>
          <w:color w:val="FF0000"/>
          <w:sz w:val="20"/>
          <w:szCs w:val="20"/>
        </w:rPr>
        <w:t>Edital de licitação</w:t>
      </w:r>
      <w:r>
        <w:rPr>
          <w:rFonts w:cs="Arial" w:ascii="Carlito" w:hAnsi="Carlito"/>
          <w:sz w:val="20"/>
          <w:szCs w:val="20"/>
        </w:rPr>
        <w:t>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DO OBJETO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 xml:space="preserve">A presente Ata tem por objeto o registro de preços para a eventual Contratação de empresa especializada na prestação de serviços de SEGURO VEICULAR, especificado no item 1 do Termo de Referência, anexo </w:t>
      </w:r>
      <w:r>
        <w:rPr>
          <w:rFonts w:ascii="Carlito" w:hAnsi="Carlito"/>
          <w:i/>
          <w:color w:val="FF0000"/>
          <w:sz w:val="20"/>
          <w:szCs w:val="20"/>
        </w:rPr>
        <w:t>do edital de Licitação</w:t>
      </w:r>
      <w:r>
        <w:rPr>
          <w:rFonts w:ascii="Carlito" w:hAnsi="Carlito"/>
          <w:sz w:val="20"/>
          <w:szCs w:val="20"/>
        </w:rPr>
        <w:t>, 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DOS PREÇOS, ESPECIFICAÇÕES E QUANTITATIVOS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commentRangeStart w:id="0"/>
      <w:r>
        <w:rPr>
          <w:rFonts w:ascii="Carlito" w:hAnsi="Carlito"/>
          <w:sz w:val="20"/>
          <w:szCs w:val="20"/>
        </w:rPr>
        <w:t>O preço registrado</w:t>
      </w:r>
      <w:r>
        <w:rPr>
          <w:rFonts w:ascii="Carlito" w:hAnsi="Carlito"/>
          <w:sz w:val="20"/>
          <w:szCs w:val="20"/>
        </w:rPr>
      </w:r>
      <w:commentRangeEnd w:id="0"/>
      <w:r>
        <w:commentReference w:id="0"/>
      </w:r>
      <w:r>
        <w:rPr>
          <w:rFonts w:ascii="Carlito" w:hAnsi="Carlito"/>
          <w:sz w:val="20"/>
          <w:szCs w:val="20"/>
        </w:rPr>
        <w:t xml:space="preserve">, as especificações do objeto, </w:t>
      </w:r>
      <w:commentRangeStart w:id="1"/>
      <w:r>
        <w:rPr>
          <w:rFonts w:ascii="Carlito" w:hAnsi="Carlito"/>
          <w:sz w:val="20"/>
          <w:szCs w:val="20"/>
        </w:rPr>
        <w:t>as quantidades mínimas e máximas de cada item</w:t>
      </w:r>
      <w:r>
        <w:rPr>
          <w:rFonts w:ascii="Carlito" w:hAnsi="Carlito"/>
          <w:sz w:val="20"/>
          <w:szCs w:val="20"/>
        </w:rPr>
      </w:r>
      <w:commentRangeEnd w:id="1"/>
      <w:r>
        <w:commentReference w:id="1"/>
      </w:r>
      <w:r>
        <w:rPr>
          <w:rFonts w:ascii="Carlito" w:hAnsi="Carlito"/>
          <w:sz w:val="20"/>
          <w:szCs w:val="20"/>
        </w:rPr>
        <w:t xml:space="preserve">, fornecedor(es) e as demais condições ofertadas na(s) proposta(s) são as que seguem: </w:t>
      </w:r>
    </w:p>
    <w:tbl>
      <w:tblPr>
        <w:tblW w:w="9392" w:type="dxa"/>
        <w:jc w:val="left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0" w:type="dxa"/>
          <w:left w:w="6" w:type="dxa"/>
          <w:bottom w:w="0" w:type="dxa"/>
          <w:right w:w="10" w:type="dxa"/>
        </w:tblCellMar>
        <w:tblLook w:noVBand="0" w:val="0000" w:noHBand="0" w:lastColumn="0" w:firstColumn="0" w:lastRow="0" w:firstRow="0"/>
      </w:tblPr>
      <w:tblGrid>
        <w:gridCol w:w="495"/>
        <w:gridCol w:w="1333"/>
        <w:gridCol w:w="1253"/>
        <w:gridCol w:w="1541"/>
        <w:gridCol w:w="1122"/>
        <w:gridCol w:w="1120"/>
        <w:gridCol w:w="841"/>
        <w:gridCol w:w="840"/>
        <w:gridCol w:w="846"/>
      </w:tblGrid>
      <w:tr>
        <w:trPr>
          <w:trHeight w:val="511" w:hRule="atLeast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TR</w:t>
            </w:r>
          </w:p>
        </w:tc>
        <w:tc>
          <w:tcPr>
            <w:tcW w:w="88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 xml:space="preserve">Fornecedor </w:t>
            </w:r>
            <w:r>
              <w:rPr>
                <w:rFonts w:cs="Arial" w:ascii="Carlito" w:hAnsi="Carlito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Unidade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Quantidade Mínima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Valor Un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/>
        <w:rPr>
          <w:rFonts w:ascii="Carlito" w:hAnsi="Carlito" w:cs="Arial"/>
          <w:sz w:val="20"/>
          <w:szCs w:val="20"/>
          <w:lang w:eastAsia="en-US"/>
        </w:rPr>
      </w:pPr>
      <w:r>
        <w:rPr>
          <w:rFonts w:cs="Arial" w:ascii="Carlito" w:hAnsi="Carlito"/>
          <w:sz w:val="20"/>
          <w:szCs w:val="20"/>
          <w:lang w:eastAsia="en-US"/>
        </w:rPr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commentRangeStart w:id="2"/>
      <w:r>
        <w:rPr>
          <w:rFonts w:ascii="Carlito" w:hAnsi="Carlito"/>
          <w:sz w:val="20"/>
          <w:szCs w:val="20"/>
          <w:lang w:eastAsia="en-US"/>
        </w:rPr>
        <w:t>A listagem do cadastro de reserva referente ao presente registro de preços consta como anexo a esta Ata.</w:t>
      </w:r>
      <w:commentRangeEnd w:id="2"/>
      <w:r>
        <w:commentReference w:id="2"/>
      </w:r>
      <w:r>
        <w:rPr>
          <w:rFonts w:ascii="Carlito" w:hAnsi="Carlito"/>
          <w:sz w:val="20"/>
          <w:szCs w:val="20"/>
          <w:lang w:eastAsia="en-US"/>
        </w:rPr>
      </w:r>
    </w:p>
    <w:p>
      <w:pPr>
        <w:pStyle w:val="Nivel01"/>
        <w:numPr>
          <w:ilvl w:val="0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commentRangeStart w:id="3"/>
      <w:commentRangeStart w:id="4"/>
      <w:r>
        <w:rPr>
          <w:rFonts w:ascii="Carlito" w:hAnsi="Carlito"/>
          <w:sz w:val="20"/>
          <w:szCs w:val="20"/>
        </w:rPr>
        <w:t>ÓRGÃO(S) GERENCIADOR E  PARTICIPANTE(S)</w:t>
      </w:r>
      <w:r>
        <w:rPr>
          <w:rFonts w:ascii="Carlito" w:hAnsi="Carlito"/>
          <w:sz w:val="20"/>
          <w:szCs w:val="20"/>
        </w:rPr>
      </w:r>
      <w:commentRangeEnd w:id="4"/>
      <w:r>
        <w:commentReference w:id="4"/>
      </w:r>
      <w:commentRangeEnd w:id="3"/>
      <w:r>
        <w:commentReference w:id="3"/>
      </w:r>
      <w:r>
        <w:rPr>
          <w:rFonts w:ascii="Carlito" w:hAnsi="Carlito"/>
          <w:sz w:val="20"/>
          <w:szCs w:val="20"/>
        </w:rPr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O órgão gerenciador será o Comando do 1º Distrito Naval</w:t>
      </w:r>
    </w:p>
    <w:p>
      <w:pPr>
        <w:pStyle w:val="Nvel2Red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Além do gerenciador, não há órgãos e entidades públicas participantes do registro de preços:</w:t>
      </w:r>
    </w:p>
    <w:tbl>
      <w:tblPr>
        <w:tblW w:w="8978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2244"/>
        <w:gridCol w:w="2245"/>
        <w:gridCol w:w="2245"/>
        <w:gridCol w:w="2243"/>
      </w:tblGrid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color w:val="FF0000"/>
                <w:sz w:val="20"/>
                <w:szCs w:val="20"/>
              </w:rPr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 w:cs="Arial"/>
                <w:i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color w:val="FF0000"/>
                <w:sz w:val="20"/>
                <w:szCs w:val="20"/>
              </w:rPr>
            </w:r>
          </w:p>
        </w:tc>
      </w:tr>
    </w:tbl>
    <w:p>
      <w:pPr>
        <w:pStyle w:val="Nivel01"/>
        <w:numPr>
          <w:ilvl w:val="0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 xml:space="preserve">DA ADESÃO À ATA DE REGISTRO DE PREÇOS </w:t>
      </w:r>
    </w:p>
    <w:p>
      <w:pPr>
        <w:pStyle w:val="Nvel2Red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  <w:lang w:eastAsia="en-US"/>
        </w:rPr>
        <w:t xml:space="preserve"> </w:t>
      </w:r>
      <w:commentRangeStart w:id="5"/>
      <w:r>
        <w:rPr>
          <w:rFonts w:ascii="Carlito" w:hAnsi="Carlito"/>
          <w:sz w:val="20"/>
          <w:szCs w:val="20"/>
          <w:lang w:eastAsia="en-US"/>
        </w:rPr>
        <w:t xml:space="preserve">Não será admitida a adesão à ata de registro de preços </w:t>
      </w:r>
      <w:r>
        <w:rPr>
          <w:rFonts w:ascii="Carlito" w:hAnsi="Carlito"/>
          <w:sz w:val="20"/>
          <w:szCs w:val="20"/>
          <w:lang w:eastAsia="en-US"/>
        </w:rPr>
      </w:r>
      <w:commentRangeEnd w:id="5"/>
      <w:r>
        <w:commentReference w:id="5"/>
      </w:r>
      <w:r>
        <w:rPr>
          <w:rFonts w:ascii="Carlito" w:hAnsi="Carlito"/>
          <w:sz w:val="20"/>
          <w:szCs w:val="20"/>
          <w:lang w:eastAsia="en-US"/>
        </w:rPr>
        <w:t>decorrente desta licitação ou desta contratação direta, conforme justificativa apresentada nos estudos técnicos preliminares.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A adesão à ata de registro de preços por órgãos e en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dades da Administração Pública estadual, distrital e municipal poderá ser exigida para fins de transferências voluntárias, não ficando sujeita ao limite de que trata o item 4.7, desde que seja des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nada à execução descentralizada de programa ou projeto federal e comprovada a compatibilidade dos preços registrados com os valores praticados no mercado na forma do art. 23 da Lei nº 14.133, de 2021.</w:t>
      </w:r>
    </w:p>
    <w:p>
      <w:pPr>
        <w:pStyle w:val="SubTitNN"/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Vedação a acréscimo de quantitativos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 xml:space="preserve">A validade da Ata de Registro de Preços será de 1 (um) ano, contado a </w:t>
      </w:r>
      <w:commentRangeStart w:id="6"/>
      <w:r>
        <w:rPr>
          <w:rFonts w:ascii="Carlito" w:hAnsi="Carlito"/>
          <w:sz w:val="20"/>
          <w:szCs w:val="20"/>
        </w:rPr>
        <w:t>partir</w:t>
      </w:r>
      <w:r>
        <w:rPr>
          <w:rFonts w:ascii="Carlito" w:hAnsi="Carlito"/>
          <w:sz w:val="20"/>
          <w:szCs w:val="20"/>
        </w:rPr>
      </w:r>
      <w:commentRangeEnd w:id="6"/>
      <w:r>
        <w:commentReference w:id="6"/>
      </w:r>
      <w:r>
        <w:rPr>
          <w:rFonts w:ascii="Carlito" w:hAnsi="Carlito"/>
          <w:sz w:val="20"/>
          <w:szCs w:val="20"/>
        </w:rPr>
        <w:t xml:space="preserve"> do primeiro dia útil subsequente à data de divulgação no PNCP, </w:t>
      </w:r>
      <w:r>
        <w:rPr>
          <w:rFonts w:ascii="Carlito" w:hAnsi="Carlito"/>
          <w:color w:val="FF0000"/>
          <w:sz w:val="20"/>
          <w:szCs w:val="20"/>
        </w:rPr>
        <w:t>podendo ser prorrogada por igual período, mediante a anuência do fornecedor, desde que comprovado o preço vantajoso</w:t>
      </w:r>
      <w:r>
        <w:rPr>
          <w:rFonts w:ascii="Carlito" w:hAnsi="Carlito"/>
          <w:sz w:val="20"/>
          <w:szCs w:val="20"/>
        </w:rPr>
        <w:t>.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A contratação com os fornecedores registrados na ata será formalizada pelo órgão ou pela en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 xml:space="preserve"> </w:t>
      </w:r>
      <w:r>
        <w:rPr>
          <w:rFonts w:ascii="Carlito" w:hAnsi="Carlito"/>
          <w:sz w:val="20"/>
          <w:szCs w:val="20"/>
        </w:rPr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Serão registrados na ata os preços e os quantita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 xml:space="preserve">vos do adjudicatário, devendo ser observada a possibilidade de o licitante oferecer ou não proposta em quantitativo inferior ao máximo previsto </w:t>
      </w:r>
      <w:r>
        <w:rPr>
          <w:rFonts w:ascii="Carlito" w:hAnsi="Carlito"/>
          <w:i/>
          <w:iCs/>
          <w:color w:val="FF0000"/>
          <w:sz w:val="20"/>
          <w:szCs w:val="20"/>
        </w:rPr>
        <w:t>no edital</w:t>
      </w:r>
      <w:r>
        <w:rPr>
          <w:rFonts w:ascii="Carlito" w:hAnsi="Carlito"/>
          <w:color w:val="FF0000"/>
          <w:sz w:val="20"/>
          <w:szCs w:val="20"/>
        </w:rPr>
        <w:t xml:space="preserve"> </w:t>
      </w:r>
      <w:r>
        <w:rPr>
          <w:rFonts w:ascii="Carlito" w:hAnsi="Carlito"/>
          <w:sz w:val="20"/>
          <w:szCs w:val="20"/>
        </w:rPr>
        <w:t>e se obrigar nos limites dela;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spacing w:lineRule="auto" w:line="240"/>
        <w:ind w:left="567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spacing w:lineRule="auto" w:line="240"/>
        <w:ind w:left="567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O registro a que se refere o item 5.4.2</w:t>
      </w:r>
      <w:r>
        <w:rPr>
          <w:rFonts w:ascii="Carlito" w:hAnsi="Carlito"/>
          <w:b/>
          <w:bCs/>
          <w:sz w:val="20"/>
          <w:szCs w:val="20"/>
        </w:rPr>
        <w:t xml:space="preserve"> </w:t>
      </w:r>
      <w:r>
        <w:rPr>
          <w:rFonts w:ascii="Carlito" w:hAnsi="Carlito"/>
          <w:sz w:val="20"/>
          <w:szCs w:val="20"/>
        </w:rPr>
        <w:t>tem por obje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/>
      </w:pPr>
      <w:r>
        <w:rPr>
          <w:rFonts w:ascii="Carlito" w:hAnsi="Carlito"/>
          <w:sz w:val="20"/>
          <w:szCs w:val="20"/>
        </w:rPr>
        <w:t xml:space="preserve">A habilitação dos licitantes que comporão o cadastro de reserva a que se refere o item </w:t>
      </w:r>
      <w:r>
        <w:rPr>
          <w:rFonts w:ascii="Carlito" w:hAnsi="Carlito"/>
          <w:sz w:val="20"/>
          <w:szCs w:val="20"/>
        </w:rPr>
        <w:fldChar w:fldCharType="begin"/>
      </w:r>
      <w:r>
        <w:rPr>
          <w:sz w:val="20"/>
          <w:szCs w:val="20"/>
          <w:rFonts w:ascii="Carlito" w:hAnsi="Carlito"/>
        </w:rPr>
        <w:instrText> REF cadastro_reserva \r \h </w:instrText>
      </w:r>
      <w:r>
        <w:rPr>
          <w:sz w:val="20"/>
          <w:szCs w:val="20"/>
          <w:rFonts w:ascii="Carlito" w:hAnsi="Carlito"/>
        </w:rPr>
        <w:fldChar w:fldCharType="separate"/>
      </w:r>
      <w:r>
        <w:rPr>
          <w:sz w:val="20"/>
          <w:szCs w:val="20"/>
          <w:rFonts w:ascii="Carlito" w:hAnsi="Carlito"/>
        </w:rPr>
        <w:t>12.1.1.2</w:t>
      </w:r>
      <w:r>
        <w:rPr>
          <w:sz w:val="20"/>
          <w:szCs w:val="20"/>
          <w:rFonts w:ascii="Carlito" w:hAnsi="Carlito"/>
        </w:rPr>
        <w:fldChar w:fldCharType="end"/>
      </w:r>
      <w:r>
        <w:rPr>
          <w:rFonts w:ascii="Carlito" w:hAnsi="Carlito"/>
          <w:sz w:val="20"/>
          <w:szCs w:val="20"/>
        </w:rPr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 xml:space="preserve">Quando o licitante vencedor não assinar a ata de registro de preços, no prazo e nas condições estabelecidos </w:t>
      </w:r>
      <w:r>
        <w:rPr>
          <w:rFonts w:ascii="Carlito" w:hAnsi="Carlito"/>
          <w:i/>
          <w:iCs/>
          <w:color w:val="FF0000"/>
          <w:sz w:val="20"/>
          <w:szCs w:val="20"/>
        </w:rPr>
        <w:t>no edital;</w:t>
      </w:r>
      <w:r>
        <w:rPr>
          <w:rFonts w:ascii="Carlito" w:hAnsi="Carlito"/>
          <w:color w:val="FF0000"/>
          <w:sz w:val="20"/>
          <w:szCs w:val="20"/>
        </w:rPr>
        <w:t xml:space="preserve"> </w:t>
      </w:r>
      <w:r>
        <w:rPr>
          <w:rFonts w:ascii="Carlito" w:hAnsi="Carlito"/>
          <w:sz w:val="20"/>
          <w:szCs w:val="20"/>
        </w:rPr>
        <w:t>e</w:t>
      </w:r>
    </w:p>
    <w:p>
      <w:pPr>
        <w:pStyle w:val="Nvel3"/>
        <w:numPr>
          <w:ilvl w:val="0"/>
          <w:numId w:val="1"/>
        </w:numPr>
        <w:spacing w:lineRule="auto" w:line="240"/>
        <w:rPr/>
      </w:pPr>
      <w:r>
        <w:rPr>
          <w:rFonts w:ascii="Carlito" w:hAnsi="Carlito"/>
          <w:sz w:val="20"/>
          <w:szCs w:val="20"/>
        </w:rPr>
        <w:t xml:space="preserve">Quando houver o cancelamento do registro do licitante ou do registro de preços nas hipóteses previstas no item </w:t>
      </w:r>
      <w:r>
        <w:rPr>
          <w:rFonts w:ascii="Carlito" w:hAnsi="Carlito"/>
          <w:sz w:val="20"/>
          <w:szCs w:val="20"/>
        </w:rPr>
        <w:fldChar w:fldCharType="begin"/>
      </w:r>
      <w:r>
        <w:rPr>
          <w:sz w:val="20"/>
          <w:szCs w:val="20"/>
          <w:rFonts w:ascii="Carlito" w:hAnsi="Carlito"/>
        </w:rPr>
        <w:instrText> REF cancelamento \r \h </w:instrText>
      </w:r>
      <w:r>
        <w:rPr>
          <w:sz w:val="20"/>
          <w:szCs w:val="20"/>
          <w:rFonts w:ascii="Carlito" w:hAnsi="Carlito"/>
        </w:rPr>
        <w:fldChar w:fldCharType="separate"/>
      </w:r>
      <w:r>
        <w:rPr>
          <w:sz w:val="20"/>
          <w:szCs w:val="20"/>
          <w:rFonts w:ascii="Carlito" w:hAnsi="Carlito"/>
        </w:rPr>
        <w:t>37</w:t>
      </w:r>
      <w:r>
        <w:rPr>
          <w:sz w:val="20"/>
          <w:szCs w:val="20"/>
          <w:rFonts w:ascii="Carlito" w:hAnsi="Carlito"/>
        </w:rPr>
        <w:fldChar w:fldCharType="end"/>
      </w:r>
      <w:r>
        <w:rPr>
          <w:rFonts w:ascii="Carlito" w:hAnsi="Carlito"/>
          <w:sz w:val="20"/>
          <w:szCs w:val="20"/>
        </w:rPr>
        <w:t>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/>
      </w:pPr>
      <w:r>
        <w:rPr>
          <w:rFonts w:ascii="Carlito" w:hAnsi="Carlito"/>
          <w:sz w:val="20"/>
          <w:szCs w:val="20"/>
        </w:rPr>
        <w:t xml:space="preserve">Quando o convocado não assinar a ata de registro de preços no prazo e nas condições estabelecidos no edital ou no aviso de contratação, e observado o disposto no item </w:t>
      </w:r>
      <w:r>
        <w:rPr>
          <w:rFonts w:ascii="Carlito" w:hAnsi="Carlito"/>
          <w:sz w:val="20"/>
          <w:szCs w:val="20"/>
        </w:rPr>
        <w:fldChar w:fldCharType="begin"/>
      </w:r>
      <w:r>
        <w:rPr>
          <w:sz w:val="20"/>
          <w:szCs w:val="20"/>
          <w:rFonts w:ascii="Carlito" w:hAnsi="Carlito"/>
        </w:rPr>
        <w:instrText> REF habilitacao_reserva \r \h </w:instrText>
      </w:r>
      <w:r>
        <w:rPr>
          <w:sz w:val="20"/>
          <w:szCs w:val="20"/>
          <w:rFonts w:ascii="Carlito" w:hAnsi="Carlito"/>
        </w:rPr>
        <w:fldChar w:fldCharType="separate"/>
      </w:r>
      <w:r>
        <w:rPr>
          <w:sz w:val="20"/>
          <w:szCs w:val="20"/>
          <w:rFonts w:ascii="Carlito" w:hAnsi="Carlito"/>
        </w:rPr>
        <w:t>Erro: Origem da referência não encontrada</w:t>
      </w:r>
      <w:r>
        <w:rPr>
          <w:sz w:val="20"/>
          <w:szCs w:val="20"/>
          <w:rFonts w:ascii="Carlito" w:hAnsi="Carlito"/>
        </w:rPr>
        <w:fldChar w:fldCharType="end"/>
      </w:r>
      <w:r>
        <w:rPr>
          <w:rFonts w:ascii="Carlito" w:hAnsi="Carlito"/>
          <w:sz w:val="20"/>
          <w:szCs w:val="20"/>
        </w:rPr>
        <w:t>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Na hipótese de nenhum dos licitantes que trata o item 5.4.2.1, aceitar a contratação nos termos do item anterior, a Administração, observados o valor es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 xml:space="preserve">mado e sua eventual atualização nos termos </w:t>
      </w:r>
      <w:r>
        <w:rPr>
          <w:rFonts w:ascii="Carlito" w:hAnsi="Carlito"/>
          <w:i/>
          <w:iCs/>
          <w:color w:val="FF0000"/>
          <w:sz w:val="20"/>
          <w:szCs w:val="20"/>
        </w:rPr>
        <w:t>do edital</w:t>
      </w:r>
      <w:r>
        <w:rPr>
          <w:rFonts w:ascii="Carlito" w:hAnsi="Carlito"/>
          <w:sz w:val="20"/>
          <w:szCs w:val="20"/>
        </w:rPr>
        <w:t>, poderá: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ALTERAÇÃO OU ATUALIZAÇÃO DOS PREÇOS REGISTRADOS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Os preços registrados poderão ser alterados ou atualizados em decorrência de eventual redução dos preços pra</w:t>
      </w:r>
      <w:r>
        <w:rPr>
          <w:rFonts w:eastAsia="Calibri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cados no mercado ou de fato que eleve o custo dos bens, das obras ou dos serviços registrados, nas seguintes situações: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E</w:t>
      </w:r>
      <w:commentRangeStart w:id="7"/>
      <w:r>
        <w:rPr>
          <w:rFonts w:ascii="Carlito" w:hAnsi="Carlito"/>
          <w:sz w:val="20"/>
          <w:szCs w:val="20"/>
        </w:rPr>
        <w:t xml:space="preserve">m caso de força maior, caso fortuito ou fato do príncipe ou em decorrência de fatos imprevisíveis ou previsíveis de consequências incalculáveis, que inviabilizem a execução da ata tal como pactuada, nos termos da </w:t>
      </w:r>
      <w:r>
        <w:rPr>
          <w:rFonts w:ascii="Carlito" w:hAnsi="Carlito"/>
          <w:color w:val="0000EF"/>
          <w:sz w:val="20"/>
          <w:szCs w:val="20"/>
        </w:rPr>
        <w:t>alínea “d” do inciso II do caput do art. 124 da Lei nº 14.133, de 2021</w:t>
      </w:r>
      <w:r>
        <w:rPr>
          <w:rFonts w:ascii="Carlito" w:hAnsi="Carlito"/>
          <w:color w:val="0000EF"/>
          <w:sz w:val="20"/>
          <w:szCs w:val="20"/>
        </w:rPr>
      </w:r>
      <w:commentRangeEnd w:id="7"/>
      <w:r>
        <w:commentReference w:id="7"/>
      </w:r>
      <w:r>
        <w:rPr>
          <w:rFonts w:ascii="Carlito" w:hAnsi="Carlito"/>
          <w:color w:val="0000EF"/>
          <w:sz w:val="20"/>
          <w:szCs w:val="20"/>
        </w:rPr>
        <w:t>;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Em caso de criação, alteração ou ex</w:t>
      </w:r>
      <w:r>
        <w:rPr>
          <w:rFonts w:eastAsia="Calibri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Na hipótese de previsão no edital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spacing w:lineRule="auto" w:line="240"/>
        <w:ind w:left="567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spacing w:lineRule="auto" w:line="240"/>
        <w:ind w:left="567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NEGOCIAÇÃO DE PREÇOS REGISTRADOS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Na hipótese de o preço registrado tornar-se superior ao preço pra</w:t>
      </w:r>
      <w:r>
        <w:rPr>
          <w:rFonts w:eastAsia="Calibri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cado no mercado por mo</w:t>
      </w:r>
      <w:r>
        <w:rPr>
          <w:rFonts w:eastAsia="Calibri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vo superveniente, o órgão ou en</w:t>
      </w:r>
      <w:r>
        <w:rPr>
          <w:rFonts w:eastAsia="Calibri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dade gerenciadora convocará o fornecedor para negociar a redução do preço registrado.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Caso não aceite reduzir seu preço aos valores pra</w:t>
      </w:r>
      <w:r>
        <w:rPr>
          <w:rFonts w:eastAsia="Calibri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Na hipótese prevista no item anterior, o gerenciador convocará os fornecedores do cadastro de reserva, na ordem de classificação, para verificar se aceitam reduzir seus preços aos valores de mercado e não convocará o</w:t>
      </w:r>
      <w:commentRangeStart w:id="8"/>
      <w:r>
        <w:rPr>
          <w:rFonts w:ascii="Carlito" w:hAnsi="Carlito"/>
          <w:sz w:val="20"/>
          <w:szCs w:val="20"/>
        </w:rPr>
        <w:t>s licitantes ou fornecedores que tiveram seu registro cancelado.</w:t>
      </w:r>
      <w:r>
        <w:rPr>
          <w:rFonts w:ascii="Carlito" w:hAnsi="Carlito"/>
          <w:sz w:val="20"/>
          <w:szCs w:val="20"/>
        </w:rPr>
      </w:r>
      <w:commentRangeEnd w:id="8"/>
      <w:r>
        <w:commentReference w:id="8"/>
      </w:r>
      <w:r>
        <w:rPr>
          <w:rFonts w:ascii="Carlito" w:hAnsi="Carlito"/>
          <w:sz w:val="20"/>
          <w:szCs w:val="20"/>
        </w:rPr>
        <w:t xml:space="preserve"> 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Se não obtiver êxito nas negociações, o órgão ou en</w:t>
      </w:r>
      <w:r>
        <w:rPr>
          <w:rFonts w:eastAsia="Calibri" w:ascii="Carlito" w:hAnsi="Carlito"/>
          <w:sz w:val="20"/>
          <w:szCs w:val="20"/>
        </w:rPr>
        <w:t>tid</w:t>
      </w:r>
      <w:r>
        <w:rPr>
          <w:rFonts w:ascii="Carlito" w:hAnsi="Carlito"/>
          <w:sz w:val="20"/>
          <w:szCs w:val="20"/>
        </w:rPr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cs="Calibri" w:ascii="Carlito" w:hAnsi="Carlito"/>
          <w:sz w:val="20"/>
          <w:szCs w:val="20"/>
        </w:rPr>
        <w:t>Na hipótese de</w:t>
      </w:r>
      <w:r>
        <w:rPr>
          <w:rFonts w:ascii="Carlito" w:hAnsi="Carlito"/>
          <w:sz w:val="20"/>
          <w:szCs w:val="20"/>
        </w:rPr>
        <w:t xml:space="preserve"> redução do preço registrado, o gerenciador comunicará aos órgãos e às en</w:t>
      </w:r>
      <w:r>
        <w:rPr>
          <w:rFonts w:eastAsia="Calibri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 xml:space="preserve">dades que </w:t>
      </w:r>
      <w:r>
        <w:rPr>
          <w:rFonts w:eastAsia="Calibri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0"/>
          <w:numId w:val="1"/>
        </w:numPr>
        <w:spacing w:lineRule="auto" w:line="240"/>
        <w:rPr/>
      </w:pPr>
      <w:r>
        <w:rPr>
          <w:rFonts w:ascii="Carlito" w:hAnsi="Carlito"/>
          <w:sz w:val="20"/>
          <w:szCs w:val="20"/>
        </w:rPr>
        <w:t>Não hipótese de não comprovação da existência de fato superveniente que inviabilize o preço registrado, o pedido será indeferido pelo órgão ou en</w:t>
      </w:r>
      <w:r>
        <w:rPr>
          <w:rFonts w:eastAsia="Calibri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 xml:space="preserve">dade gerenciadora e o fornecedor deverá cumprir as obrigações estabelecidas na ata, sob pena de cancelamento do seu registro, nos termos do item </w:t>
      </w:r>
      <w:r>
        <w:rPr>
          <w:rFonts w:ascii="Carlito" w:hAnsi="Carlito"/>
          <w:sz w:val="20"/>
          <w:szCs w:val="20"/>
        </w:rPr>
        <w:fldChar w:fldCharType="begin"/>
      </w:r>
      <w:r>
        <w:rPr>
          <w:sz w:val="20"/>
          <w:szCs w:val="20"/>
          <w:rFonts w:ascii="Carlito" w:hAnsi="Carlito"/>
        </w:rPr>
        <w:instrText> REF cancelamento_do_fornecedor \r \h </w:instrText>
      </w:r>
      <w:r>
        <w:rPr>
          <w:sz w:val="20"/>
          <w:szCs w:val="20"/>
          <w:rFonts w:ascii="Carlito" w:hAnsi="Carlito"/>
        </w:rPr>
        <w:fldChar w:fldCharType="separate"/>
      </w:r>
      <w:r>
        <w:rPr>
          <w:sz w:val="20"/>
          <w:szCs w:val="20"/>
          <w:rFonts w:ascii="Carlito" w:hAnsi="Carlito"/>
        </w:rPr>
        <w:t>37.1</w:t>
      </w:r>
      <w:r>
        <w:rPr>
          <w:sz w:val="20"/>
          <w:szCs w:val="20"/>
          <w:rFonts w:ascii="Carlito" w:hAnsi="Carlito"/>
        </w:rPr>
        <w:fldChar w:fldCharType="end"/>
      </w:r>
      <w:r>
        <w:rPr>
          <w:rFonts w:ascii="Carlito" w:hAnsi="Carlito"/>
          <w:sz w:val="20"/>
          <w:szCs w:val="20"/>
        </w:rPr>
        <w:t>, sem prejuízo das sanções previstas na Lei nº 14.133, de 2021, e na legislação aplicável.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0"/>
          <w:numId w:val="1"/>
        </w:numPr>
        <w:spacing w:lineRule="auto" w:line="240"/>
        <w:rPr/>
      </w:pPr>
      <w:r>
        <w:rPr>
          <w:rFonts w:ascii="Carlito" w:hAnsi="Carlito"/>
          <w:sz w:val="20"/>
          <w:szCs w:val="20"/>
        </w:rPr>
        <w:t xml:space="preserve">Se não obtiver êxito nas negociações, o órgão ou entidade gerenciadora procederá ao cancelamento da ata de registro de preços, nos termos do item </w:t>
      </w:r>
      <w:r>
        <w:rPr>
          <w:rFonts w:ascii="Carlito" w:hAnsi="Carlito"/>
          <w:sz w:val="20"/>
          <w:szCs w:val="20"/>
        </w:rPr>
        <w:fldChar w:fldCharType="begin"/>
      </w:r>
      <w:r>
        <w:rPr>
          <w:sz w:val="20"/>
          <w:szCs w:val="20"/>
          <w:rFonts w:ascii="Carlito" w:hAnsi="Carlito"/>
        </w:rPr>
        <w:instrText> REF cancelamento_da_ata \r \h </w:instrText>
      </w:r>
      <w:r>
        <w:rPr>
          <w:sz w:val="20"/>
          <w:szCs w:val="20"/>
          <w:rFonts w:ascii="Carlito" w:hAnsi="Carlito"/>
        </w:rPr>
        <w:fldChar w:fldCharType="separate"/>
      </w:r>
      <w:r>
        <w:rPr>
          <w:sz w:val="20"/>
          <w:szCs w:val="20"/>
          <w:rFonts w:ascii="Carlito" w:hAnsi="Carlito"/>
        </w:rPr>
        <w:t>41.4</w:t>
      </w:r>
      <w:r>
        <w:rPr>
          <w:sz w:val="20"/>
          <w:szCs w:val="20"/>
          <w:rFonts w:ascii="Carlito" w:hAnsi="Carlito"/>
        </w:rPr>
        <w:fldChar w:fldCharType="end"/>
      </w:r>
      <w:r>
        <w:rPr>
          <w:rFonts w:ascii="Carlito" w:hAnsi="Carlito"/>
          <w:sz w:val="20"/>
          <w:szCs w:val="20"/>
        </w:rPr>
        <w:t>, e adotará as medidas cabíveis para a obtenção da contratação mais vantajosa.</w:t>
      </w:r>
    </w:p>
    <w:p>
      <w:pPr>
        <w:pStyle w:val="Nvel3"/>
        <w:numPr>
          <w:ilvl w:val="0"/>
          <w:numId w:val="1"/>
        </w:numPr>
        <w:spacing w:lineRule="auto" w:line="240"/>
        <w:rPr/>
      </w:pPr>
      <w:r>
        <w:rPr>
          <w:rFonts w:ascii="Carlito" w:hAnsi="Carlito"/>
          <w:sz w:val="20"/>
          <w:szCs w:val="20"/>
        </w:rPr>
        <w:t xml:space="preserve">Na hipótese de comprovação da majoração do preço de mercado que inviabilize o preço registrado, conforme previsto no item </w:t>
      </w:r>
      <w:r>
        <w:rPr>
          <w:rFonts w:ascii="Carlito" w:hAnsi="Carlito"/>
          <w:sz w:val="20"/>
          <w:szCs w:val="20"/>
        </w:rPr>
        <w:fldChar w:fldCharType="begin"/>
      </w:r>
      <w:r>
        <w:rPr>
          <w:sz w:val="20"/>
          <w:szCs w:val="20"/>
          <w:rFonts w:ascii="Carlito" w:hAnsi="Carlito"/>
        </w:rPr>
        <w:instrText> REF hipotese_preco_mercado_maior \r \h </w:instrText>
      </w:r>
      <w:r>
        <w:rPr>
          <w:sz w:val="20"/>
          <w:szCs w:val="20"/>
          <w:rFonts w:ascii="Carlito" w:hAnsi="Carlito"/>
        </w:rPr>
        <w:fldChar w:fldCharType="separate"/>
      </w:r>
      <w:r>
        <w:rPr>
          <w:sz w:val="20"/>
          <w:szCs w:val="20"/>
          <w:rFonts w:ascii="Carlito" w:hAnsi="Carlito"/>
        </w:rPr>
        <w:t>27.1</w:t>
      </w:r>
      <w:r>
        <w:rPr>
          <w:sz w:val="20"/>
          <w:szCs w:val="20"/>
          <w:rFonts w:ascii="Carlito" w:hAnsi="Carlito"/>
        </w:rPr>
        <w:fldChar w:fldCharType="end"/>
      </w:r>
      <w:r>
        <w:rPr>
          <w:rFonts w:ascii="Carlito" w:hAnsi="Carlito"/>
          <w:sz w:val="20"/>
          <w:szCs w:val="20"/>
        </w:rPr>
        <w:t xml:space="preserve"> e no item </w:t>
      </w:r>
      <w:r>
        <w:rPr>
          <w:rFonts w:ascii="Carlito" w:hAnsi="Carlito"/>
          <w:sz w:val="20"/>
          <w:szCs w:val="20"/>
        </w:rPr>
        <w:fldChar w:fldCharType="begin"/>
      </w:r>
      <w:r>
        <w:rPr>
          <w:sz w:val="20"/>
          <w:szCs w:val="20"/>
          <w:rFonts w:ascii="Carlito" w:hAnsi="Carlito"/>
        </w:rPr>
        <w:instrText> REF prova_preco_mercado_maior \r \h </w:instrText>
      </w:r>
      <w:r>
        <w:rPr>
          <w:sz w:val="20"/>
          <w:szCs w:val="20"/>
          <w:rFonts w:ascii="Carlito" w:hAnsi="Carlito"/>
        </w:rPr>
        <w:fldChar w:fldCharType="separate"/>
      </w:r>
      <w:r>
        <w:rPr>
          <w:sz w:val="20"/>
          <w:szCs w:val="20"/>
          <w:rFonts w:ascii="Carlito" w:hAnsi="Carlito"/>
        </w:rPr>
        <w:t>28</w:t>
      </w:r>
      <w:r>
        <w:rPr>
          <w:sz w:val="20"/>
          <w:szCs w:val="20"/>
          <w:rFonts w:ascii="Carlito" w:hAnsi="Carlito"/>
        </w:rPr>
        <w:fldChar w:fldCharType="end"/>
      </w:r>
      <w:r>
        <w:rPr>
          <w:rFonts w:ascii="Carlito" w:hAnsi="Carlito"/>
          <w:sz w:val="20"/>
          <w:szCs w:val="20"/>
        </w:rPr>
        <w:t>, o órgão ou en</w:t>
      </w:r>
      <w:r>
        <w:rPr>
          <w:rFonts w:eastAsia="Calibri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dade gerenciadora atualizará o preço registrado, de acordo com a realidade dos valores praticados pelo mercado.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 xml:space="preserve"> </w:t>
      </w:r>
      <w:r>
        <w:rPr>
          <w:rFonts w:ascii="Carlito" w:hAnsi="Carlito"/>
          <w:sz w:val="20"/>
          <w:szCs w:val="20"/>
        </w:rPr>
        <w:t>O órgão ou en</w:t>
      </w:r>
      <w:r>
        <w:rPr>
          <w:rFonts w:eastAsia="Calibri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dade gerenciadora comunicará aos órgãos e às en</w:t>
      </w:r>
      <w:r>
        <w:rPr>
          <w:rFonts w:eastAsia="Calibri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 xml:space="preserve">dades que </w:t>
      </w:r>
      <w:r>
        <w:rPr>
          <w:rFonts w:eastAsia="Calibri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verem firmado contratos decorrentes da ata de registro de preços sobre a efe</w:t>
      </w:r>
      <w:r>
        <w:rPr>
          <w:rFonts w:eastAsia="Calibri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commentRangeStart w:id="9"/>
      <w:r>
        <w:rPr>
          <w:rFonts w:ascii="Carlito" w:hAnsi="Carlito"/>
          <w:sz w:val="20"/>
          <w:szCs w:val="20"/>
        </w:rPr>
        <w:t>REMANEJAMENTO DAS QUANTIDADES REGISTRADAS NA ATA DE REGISTRO DE PREÇOS</w:t>
      </w:r>
      <w:commentRangeEnd w:id="9"/>
      <w:r>
        <w:commentReference w:id="9"/>
      </w:r>
      <w:r>
        <w:rPr>
          <w:rFonts w:ascii="Carlito" w:hAnsi="Carlito"/>
          <w:sz w:val="20"/>
          <w:szCs w:val="20"/>
        </w:rPr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 xml:space="preserve"> </w:t>
      </w:r>
      <w:r>
        <w:rPr>
          <w:rFonts w:ascii="Carlito" w:hAnsi="Carlito"/>
          <w:sz w:val="20"/>
          <w:szCs w:val="20"/>
        </w:rPr>
        <w:t>As quan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dades previstas para os itens com preços registrados nas atas de registro de preços poderão ser remanejadas pelo órgão ou en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dade gerenciadora entre os órgãos ou as en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dades par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cipantes e não par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cipantes do registro de preços.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 xml:space="preserve"> </w:t>
      </w:r>
      <w:r>
        <w:rPr>
          <w:rFonts w:ascii="Carlito" w:hAnsi="Carlito"/>
          <w:sz w:val="20"/>
          <w:szCs w:val="20"/>
        </w:rPr>
        <w:t>O remanejamento somente poderá ser feito: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De órgão ou en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dade par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cipante para órgão ou en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dade par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cipante; ou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De órgão ou en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dade par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cipante para órgão ou entidade não participante.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O órgão ou en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dade gerenciadora que tiver es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mado as quan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dades que pretende contratar será considerado participante para efeito do remanejamento.</w:t>
      </w:r>
      <w:bookmarkStart w:id="4" w:name="gerenciador_estimador_%25C3%25A9_partic_"/>
      <w:bookmarkEnd w:id="4"/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Na hipótese de remanejamento de órgão ou entidade par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 xml:space="preserve">cipante para órgão ou entidade não participante, serão observados os limites previstos no </w:t>
      </w:r>
      <w:commentRangeStart w:id="10"/>
      <w:r>
        <w:rPr>
          <w:rFonts w:ascii="Carlito" w:hAnsi="Carlito"/>
          <w:sz w:val="20"/>
          <w:szCs w:val="20"/>
        </w:rPr>
        <w:t>art. 32 do Decreto nº 11.462, de 2023</w:t>
      </w:r>
      <w:r>
        <w:rPr>
          <w:rFonts w:ascii="Carlito" w:hAnsi="Carlito"/>
          <w:sz w:val="20"/>
          <w:szCs w:val="20"/>
        </w:rPr>
      </w:r>
      <w:commentRangeEnd w:id="10"/>
      <w:r>
        <w:commentReference w:id="10"/>
      </w:r>
      <w:r>
        <w:rPr>
          <w:rFonts w:ascii="Carlito" w:hAnsi="Carlito"/>
          <w:sz w:val="20"/>
          <w:szCs w:val="20"/>
        </w:rPr>
        <w:t>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Competirá ao órgão ou à en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dade gerenciadora autorizar o remanejamento solicitado, com a redução do quan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ta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vo inicialmente informado pelo órgão ou pela en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dade par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cipante, desde que haja prévia anuência do órgão ou da en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dade que sofrer redução dos quantitativos informados.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Caso o remanejamento seja feito entre órgãos ou en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dades dos Estados, do Distrito Federal ou de Municípios dis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/>
      </w:pPr>
      <w:r>
        <w:rPr>
          <w:rFonts w:ascii="Carlito" w:hAnsi="Carlito"/>
          <w:sz w:val="20"/>
          <w:szCs w:val="20"/>
        </w:rPr>
        <w:t>Na hipótese da compra centralizada, não havendo indicação pelo órgão ou pela en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dade gerenciadora, dos quan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ta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vos dos par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 xml:space="preserve">cipantes da compra centralizada, nos termos do item </w:t>
      </w:r>
      <w:r>
        <w:rPr>
          <w:rFonts w:ascii="Carlito" w:hAnsi="Carlito"/>
          <w:sz w:val="20"/>
          <w:szCs w:val="20"/>
        </w:rPr>
        <w:fldChar w:fldCharType="begin"/>
      </w:r>
      <w:r>
        <w:rPr>
          <w:sz w:val="20"/>
          <w:szCs w:val="20"/>
          <w:rFonts w:ascii="Carlito" w:hAnsi="Carlito"/>
        </w:rPr>
        <w:instrText> REF gerenciador_estimador_%25C3%25A9_partic_ \r \h </w:instrText>
      </w:r>
      <w:r>
        <w:rPr>
          <w:sz w:val="20"/>
          <w:szCs w:val="20"/>
          <w:rFonts w:ascii="Carlito" w:hAnsi="Carlito"/>
        </w:rPr>
        <w:fldChar w:fldCharType="separate"/>
      </w:r>
      <w:r>
        <w:rPr>
          <w:sz w:val="20"/>
          <w:szCs w:val="20"/>
          <w:rFonts w:ascii="Carlito" w:hAnsi="Carlito"/>
        </w:rPr>
        <w:t>36.1</w:t>
      </w:r>
      <w:r>
        <w:rPr>
          <w:sz w:val="20"/>
          <w:szCs w:val="20"/>
          <w:rFonts w:ascii="Carlito" w:hAnsi="Carlito"/>
        </w:rPr>
        <w:fldChar w:fldCharType="end"/>
      </w:r>
      <w:r>
        <w:rPr>
          <w:rFonts w:ascii="Carlito" w:hAnsi="Carlito"/>
          <w:sz w:val="20"/>
          <w:szCs w:val="20"/>
        </w:rPr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Descumprir as condições da ata de registro de preços, sem motivo justificado;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Não re</w:t>
      </w:r>
      <w:r>
        <w:rPr>
          <w:rFonts w:eastAsia="Arial" w:ascii="Carlito" w:hAnsi="Carlito"/>
          <w:sz w:val="20"/>
          <w:szCs w:val="20"/>
        </w:rPr>
        <w:t>ti</w:t>
      </w:r>
      <w:r>
        <w:rPr>
          <w:rFonts w:ascii="Carlito" w:hAnsi="Carlito"/>
          <w:sz w:val="20"/>
          <w:szCs w:val="20"/>
        </w:rPr>
        <w:t>rar a nota de empenho, ou instrumento equivalente, no prazo estabelecido pela Administração sem justificativa razoável;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Não aceitar manter seu preço registrado, na hipótese prevista no artigo 27, § 2º, do Decreto nº 11.462, de 2023; ou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 xml:space="preserve"> </w:t>
      </w:r>
      <w:r>
        <w:rPr>
          <w:rFonts w:ascii="Carlito" w:hAnsi="Carlito"/>
          <w:sz w:val="20"/>
          <w:szCs w:val="20"/>
        </w:rPr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spacing w:lineRule="auto" w:line="240"/>
        <w:ind w:left="567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/>
      </w:pPr>
      <w:r>
        <w:rPr>
          <w:rFonts w:ascii="Carlito" w:hAnsi="Carlito"/>
          <w:sz w:val="20"/>
          <w:szCs w:val="20"/>
        </w:rPr>
        <w:t xml:space="preserve"> </w:t>
      </w:r>
      <w:r>
        <w:rPr>
          <w:rFonts w:ascii="Carlito" w:hAnsi="Carlito"/>
          <w:sz w:val="20"/>
          <w:szCs w:val="20"/>
        </w:rPr>
        <w:t xml:space="preserve">O cancelamento de registros nas hipóteses previstas no item </w:t>
      </w:r>
      <w:r>
        <w:rPr>
          <w:rFonts w:ascii="Carlito" w:hAnsi="Carlito"/>
          <w:sz w:val="20"/>
          <w:szCs w:val="20"/>
        </w:rPr>
        <w:fldChar w:fldCharType="begin"/>
      </w:r>
      <w:r>
        <w:rPr>
          <w:sz w:val="20"/>
          <w:szCs w:val="20"/>
          <w:rFonts w:ascii="Carlito" w:hAnsi="Carlito"/>
        </w:rPr>
        <w:instrText> REF cancelamento_do_fornecedor \r \h </w:instrText>
      </w:r>
      <w:r>
        <w:rPr>
          <w:sz w:val="20"/>
          <w:szCs w:val="20"/>
          <w:rFonts w:ascii="Carlito" w:hAnsi="Carlito"/>
        </w:rPr>
        <w:fldChar w:fldCharType="separate"/>
      </w:r>
      <w:r>
        <w:rPr>
          <w:sz w:val="20"/>
          <w:szCs w:val="20"/>
          <w:rFonts w:ascii="Carlito" w:hAnsi="Carlito"/>
        </w:rPr>
        <w:t>37.1</w:t>
      </w:r>
      <w:r>
        <w:rPr>
          <w:sz w:val="20"/>
          <w:szCs w:val="20"/>
          <w:rFonts w:ascii="Carlito" w:hAnsi="Carlito"/>
        </w:rPr>
        <w:fldChar w:fldCharType="end"/>
      </w:r>
      <w:r>
        <w:rPr>
          <w:rFonts w:ascii="Carlito" w:hAnsi="Carlito"/>
          <w:sz w:val="20"/>
          <w:szCs w:val="20"/>
        </w:rPr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>
          <w:rFonts w:ascii="Carlito" w:hAnsi="Carlito"/>
          <w:sz w:val="20"/>
          <w:szCs w:val="20"/>
        </w:rPr>
        <w:t xml:space="preserve"> 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Por razão de interesse público;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A pedido do fornecedor, decorrente de caso fortuito ou força maior; ou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DAS PENALIDADES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 xml:space="preserve">O descumprimento da Ata de Registro de Preços ensejará aplicação das penalidades estabelecidas </w:t>
      </w:r>
      <w:r>
        <w:rPr>
          <w:rFonts w:ascii="Carlito" w:hAnsi="Carlito"/>
          <w:i/>
          <w:color w:val="FF0000"/>
          <w:sz w:val="20"/>
          <w:szCs w:val="20"/>
        </w:rPr>
        <w:t>no edital</w:t>
      </w:r>
      <w:r>
        <w:rPr>
          <w:rFonts w:ascii="Carlito" w:hAnsi="Carlito"/>
          <w:sz w:val="20"/>
          <w:szCs w:val="20"/>
        </w:rPr>
        <w:t>.</w:t>
      </w:r>
    </w:p>
    <w:p>
      <w:pPr>
        <w:pStyle w:val="Nvel3"/>
        <w:numPr>
          <w:ilvl w:val="0"/>
          <w:numId w:val="1"/>
        </w:numPr>
        <w:spacing w:lineRule="auto" w:line="24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 xml:space="preserve">As sanções também se aplicam aos integrantes do cadastro de reserva no registro de preços que, convocados, não honrarem o compromisso assumido </w:t>
      </w:r>
      <w:commentRangeStart w:id="11"/>
      <w:r>
        <w:rPr>
          <w:rFonts w:ascii="Carlito" w:hAnsi="Carlito"/>
          <w:sz w:val="20"/>
          <w:szCs w:val="20"/>
        </w:rPr>
        <w:t>injustificadamente</w:t>
      </w:r>
      <w:r>
        <w:rPr>
          <w:rFonts w:ascii="Carlito" w:hAnsi="Carlito"/>
          <w:sz w:val="20"/>
          <w:szCs w:val="20"/>
        </w:rPr>
      </w:r>
      <w:commentRangeEnd w:id="11"/>
      <w:r>
        <w:commentReference w:id="11"/>
      </w:r>
      <w:r>
        <w:rPr>
          <w:rFonts w:ascii="Carlito" w:hAnsi="Carlito"/>
          <w:sz w:val="20"/>
          <w:szCs w:val="20"/>
        </w:rPr>
        <w:t xml:space="preserve"> após terem assinado a ata. 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>CONDIÇÕES GERAIS</w:t>
      </w:r>
    </w:p>
    <w:p>
      <w:pPr>
        <w:pStyle w:val="Nivel2"/>
        <w:numPr>
          <w:ilvl w:val="1"/>
          <w:numId w:val="1"/>
        </w:numPr>
        <w:spacing w:lineRule="auto" w:line="240"/>
        <w:ind w:left="0" w:hanging="0"/>
        <w:rPr>
          <w:rFonts w:ascii="Carlito" w:hAnsi="Carlito"/>
          <w:sz w:val="20"/>
          <w:szCs w:val="20"/>
        </w:rPr>
      </w:pPr>
      <w:r>
        <w:rPr>
          <w:rFonts w:ascii="Carlito" w:hAnsi="Carlito"/>
          <w:sz w:val="20"/>
          <w:szCs w:val="20"/>
        </w:rPr>
        <w:t xml:space="preserve">As condições gerais de execução do objeto, tais como os prazos para entrega e recebimento, as obrigações da Administração e do fornecedor registrado, penalidades e demais condições do ajuste, encontram-se definidos no Termo de Referência, ANEXO </w:t>
      </w:r>
      <w:r>
        <w:rPr>
          <w:rFonts w:ascii="Carlito" w:hAnsi="Carlito"/>
          <w:i/>
          <w:color w:val="FF0000"/>
          <w:sz w:val="20"/>
          <w:szCs w:val="20"/>
        </w:rPr>
        <w:t>AO EDITAL</w:t>
      </w:r>
      <w:r>
        <w:rPr>
          <w:rFonts w:ascii="Carlito" w:hAnsi="Carlito"/>
          <w:sz w:val="20"/>
          <w:szCs w:val="20"/>
        </w:rPr>
        <w:t>.</w:t>
      </w:r>
    </w:p>
    <w:p>
      <w:pPr>
        <w:pStyle w:val="Normal"/>
        <w:widowControl w:val="false"/>
        <w:spacing w:lineRule="auto" w:line="240" w:before="120" w:after="120"/>
        <w:jc w:val="both"/>
        <w:rPr>
          <w:rFonts w:ascii="Carlito" w:hAnsi="Carlito"/>
          <w:sz w:val="20"/>
          <w:szCs w:val="20"/>
        </w:rPr>
      </w:pPr>
      <w:r>
        <w:rPr>
          <w:rFonts w:cs="Arial" w:ascii="Carlito" w:hAnsi="Carlito"/>
          <w:sz w:val="20"/>
          <w:szCs w:val="20"/>
        </w:rPr>
        <w:t xml:space="preserve">Para firmeza e validade do pactuado, a presente Ata foi lavrada em </w:t>
      </w:r>
      <w:r>
        <w:rPr>
          <w:rFonts w:cs="Arial" w:ascii="Carlito" w:hAnsi="Carlito"/>
          <w:color w:val="FF0000"/>
          <w:sz w:val="20"/>
          <w:szCs w:val="20"/>
        </w:rPr>
        <w:t>03 (três</w:t>
      </w:r>
      <w:r>
        <w:rPr>
          <w:rFonts w:cs="Arial" w:ascii="Carlito" w:hAnsi="Carlito"/>
          <w:sz w:val="20"/>
          <w:szCs w:val="20"/>
        </w:rPr>
        <w:t>) vias de igual teor, que, depois de lida e achada em ordem, vai assinada pelas partes</w:t>
      </w:r>
      <w:r>
        <w:rPr>
          <w:rFonts w:cs="Arial" w:ascii="Carlito" w:hAnsi="Carlito"/>
          <w:i/>
          <w:iCs/>
          <w:color w:val="FF0000"/>
          <w:sz w:val="20"/>
          <w:szCs w:val="20"/>
        </w:rPr>
        <w:t>.</w:t>
      </w:r>
    </w:p>
    <w:p>
      <w:pPr>
        <w:pStyle w:val="Normal"/>
        <w:widowControl w:val="false"/>
        <w:spacing w:lineRule="auto" w:line="240"/>
        <w:ind w:right="-30" w:hanging="0"/>
        <w:jc w:val="center"/>
        <w:rPr>
          <w:rFonts w:ascii="Carlito" w:hAnsi="Carlito"/>
          <w:sz w:val="20"/>
          <w:szCs w:val="20"/>
        </w:rPr>
      </w:pPr>
      <w:r>
        <w:rPr>
          <w:rFonts w:cs="Arial" w:ascii="Carlito" w:hAnsi="Carlito"/>
          <w:sz w:val="20"/>
          <w:szCs w:val="20"/>
        </w:rPr>
        <w:t>Local e data</w:t>
      </w:r>
    </w:p>
    <w:p>
      <w:pPr>
        <w:pStyle w:val="Normal"/>
        <w:widowControl w:val="false"/>
        <w:spacing w:lineRule="auto" w:line="240"/>
        <w:ind w:right="-30" w:hanging="0"/>
        <w:jc w:val="center"/>
        <w:rPr>
          <w:rFonts w:ascii="Carlito" w:hAnsi="Carlito"/>
          <w:sz w:val="20"/>
          <w:szCs w:val="20"/>
        </w:rPr>
      </w:pPr>
      <w:r>
        <w:rPr>
          <w:rFonts w:cs="Arial" w:ascii="Carlito" w:hAnsi="Carlito"/>
          <w:sz w:val="20"/>
          <w:szCs w:val="20"/>
        </w:rPr>
        <w:t>Assinaturas</w:t>
      </w:r>
    </w:p>
    <w:p>
      <w:pPr>
        <w:pStyle w:val="Normal"/>
        <w:widowControl w:val="false"/>
        <w:spacing w:lineRule="auto" w:line="240"/>
        <w:ind w:right="-30" w:hanging="0"/>
        <w:jc w:val="center"/>
        <w:rPr>
          <w:rFonts w:ascii="Carlito" w:hAnsi="Carlito" w:cs="Arial"/>
          <w:sz w:val="20"/>
          <w:szCs w:val="20"/>
        </w:rPr>
      </w:pPr>
      <w:r>
        <w:rPr>
          <w:rFonts w:cs="Arial" w:ascii="Carlito" w:hAnsi="Carlito"/>
          <w:sz w:val="20"/>
          <w:szCs w:val="20"/>
        </w:rPr>
      </w:r>
    </w:p>
    <w:p>
      <w:pPr>
        <w:pStyle w:val="Normal"/>
        <w:widowControl w:val="false"/>
        <w:spacing w:lineRule="auto" w:line="240"/>
        <w:ind w:right="-30" w:hanging="0"/>
        <w:jc w:val="center"/>
        <w:rPr>
          <w:rFonts w:ascii="Carlito" w:hAnsi="Carlito"/>
          <w:sz w:val="20"/>
          <w:szCs w:val="20"/>
        </w:rPr>
      </w:pPr>
      <w:r>
        <w:rPr>
          <w:rFonts w:cs="Arial" w:ascii="Carlito" w:hAnsi="Carlito"/>
          <w:sz w:val="20"/>
          <w:szCs w:val="20"/>
        </w:rPr>
        <w:t xml:space="preserve">Representante legal do órgão gerenciador e representante(s) legal(is) do(s) </w:t>
      </w:r>
      <w:r>
        <w:rPr>
          <w:rFonts w:cs="Arial" w:ascii="Carlito" w:hAnsi="Carlito"/>
          <w:color w:val="000000"/>
          <w:sz w:val="20"/>
          <w:szCs w:val="20"/>
        </w:rPr>
        <w:t>fornecedor(s) registrado(s)</w:t>
      </w:r>
    </w:p>
    <w:p>
      <w:pPr>
        <w:pStyle w:val="Normal"/>
        <w:widowControl w:val="false"/>
        <w:spacing w:lineRule="auto" w:line="240"/>
        <w:ind w:right="-30" w:hanging="0"/>
        <w:jc w:val="center"/>
        <w:rPr>
          <w:rFonts w:ascii="Carlito" w:hAnsi="Carlito" w:cs="Arial"/>
          <w:color w:val="000000"/>
          <w:sz w:val="20"/>
          <w:szCs w:val="20"/>
        </w:rPr>
      </w:pPr>
      <w:r>
        <w:rPr>
          <w:rFonts w:cs="Arial" w:ascii="Carlito" w:hAnsi="Carlito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240"/>
        <w:ind w:right="-30" w:hanging="0"/>
        <w:jc w:val="center"/>
        <w:rPr>
          <w:rFonts w:ascii="Carlito" w:hAnsi="Carlito" w:cs="Arial"/>
          <w:color w:val="000000"/>
          <w:sz w:val="20"/>
          <w:szCs w:val="20"/>
        </w:rPr>
      </w:pPr>
      <w:r>
        <w:rPr>
          <w:rFonts w:cs="Arial" w:ascii="Carlito" w:hAnsi="Carlito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240"/>
        <w:ind w:right="-30" w:hanging="0"/>
        <w:jc w:val="center"/>
        <w:rPr>
          <w:rFonts w:ascii="Carlito" w:hAnsi="Carlito" w:cs="Arial"/>
          <w:color w:val="000000"/>
          <w:sz w:val="20"/>
          <w:szCs w:val="20"/>
        </w:rPr>
      </w:pPr>
      <w:r>
        <w:rPr>
          <w:rFonts w:cs="Arial" w:ascii="Carlito" w:hAnsi="Carlito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240"/>
        <w:ind w:right="-30" w:hanging="0"/>
        <w:jc w:val="center"/>
        <w:rPr>
          <w:rFonts w:ascii="Carlito" w:hAnsi="Carlito"/>
          <w:sz w:val="20"/>
          <w:szCs w:val="20"/>
        </w:rPr>
      </w:pPr>
      <w:commentRangeStart w:id="12"/>
      <w:r>
        <w:rPr>
          <w:rFonts w:cs="Arial" w:ascii="Carlito" w:hAnsi="Carlito"/>
          <w:color w:val="000000"/>
          <w:sz w:val="20"/>
          <w:szCs w:val="20"/>
        </w:rPr>
        <w:t>Anexo</w:t>
      </w:r>
      <w:commentRangeEnd w:id="12"/>
      <w:r>
        <w:commentReference w:id="12"/>
      </w:r>
      <w:r>
        <w:rPr>
          <w:rFonts w:cs="Arial" w:ascii="Carlito" w:hAnsi="Carlito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240"/>
        <w:ind w:right="-30" w:hanging="0"/>
        <w:jc w:val="center"/>
        <w:rPr>
          <w:rFonts w:ascii="Carlito" w:hAnsi="Carlito" w:cs="Arial"/>
          <w:color w:val="000000"/>
          <w:sz w:val="20"/>
          <w:szCs w:val="20"/>
        </w:rPr>
      </w:pPr>
      <w:r>
        <w:rPr>
          <w:rFonts w:cs="Arial" w:ascii="Carlito" w:hAnsi="Carlito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240"/>
        <w:ind w:right="-30" w:hanging="0"/>
        <w:jc w:val="center"/>
        <w:rPr>
          <w:rFonts w:ascii="Carlito" w:hAnsi="Carlito"/>
          <w:sz w:val="20"/>
          <w:szCs w:val="20"/>
        </w:rPr>
      </w:pPr>
      <w:r>
        <w:rPr>
          <w:rFonts w:cs="Arial" w:ascii="Carlito" w:hAnsi="Carlito"/>
          <w:color w:val="000000"/>
          <w:sz w:val="20"/>
          <w:szCs w:val="20"/>
        </w:rPr>
        <w:t>Cadastro Reserva</w:t>
      </w:r>
    </w:p>
    <w:p>
      <w:pPr>
        <w:pStyle w:val="Normal"/>
        <w:widowControl w:val="false"/>
        <w:spacing w:lineRule="auto" w:line="240"/>
        <w:ind w:right="-30" w:hanging="0"/>
        <w:jc w:val="center"/>
        <w:rPr>
          <w:rFonts w:ascii="Carlito" w:hAnsi="Carlito" w:cs="Arial"/>
          <w:color w:val="000000"/>
          <w:sz w:val="20"/>
          <w:szCs w:val="20"/>
        </w:rPr>
      </w:pPr>
      <w:r>
        <w:rPr>
          <w:rFonts w:cs="Arial" w:ascii="Carlito" w:hAnsi="Carlito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240"/>
        <w:ind w:right="-30" w:hanging="0"/>
        <w:jc w:val="center"/>
        <w:rPr>
          <w:rFonts w:ascii="Carlito" w:hAnsi="Carlito"/>
          <w:sz w:val="20"/>
          <w:szCs w:val="20"/>
        </w:rPr>
      </w:pPr>
      <w:r>
        <w:rPr>
          <w:rFonts w:cs="Arial" w:ascii="Carlito" w:hAnsi="Carlito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240"/>
        <w:ind w:right="-30" w:hanging="0"/>
        <w:jc w:val="center"/>
        <w:rPr>
          <w:rFonts w:ascii="Carlito" w:hAnsi="Carlito" w:cs="Arial"/>
          <w:color w:val="000000"/>
          <w:sz w:val="20"/>
          <w:szCs w:val="20"/>
        </w:rPr>
      </w:pPr>
      <w:r>
        <w:rPr>
          <w:rFonts w:cs="Arial" w:ascii="Carlito" w:hAnsi="Carlito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0" w:type="dxa"/>
          <w:left w:w="6" w:type="dxa"/>
          <w:bottom w:w="0" w:type="dxa"/>
          <w:right w:w="10" w:type="dxa"/>
        </w:tblCellMar>
        <w:tblLook w:noVBand="0" w:val="0000" w:noHBand="0" w:lastColumn="0" w:firstColumn="0" w:lastRow="0" w:firstRow="0"/>
      </w:tblPr>
      <w:tblGrid>
        <w:gridCol w:w="495"/>
        <w:gridCol w:w="1333"/>
        <w:gridCol w:w="1253"/>
        <w:gridCol w:w="1541"/>
        <w:gridCol w:w="1122"/>
        <w:gridCol w:w="1120"/>
        <w:gridCol w:w="841"/>
        <w:gridCol w:w="840"/>
        <w:gridCol w:w="846"/>
      </w:tblGrid>
      <w:tr>
        <w:trPr>
          <w:trHeight w:val="511" w:hRule="atLeast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TR</w:t>
            </w:r>
          </w:p>
        </w:tc>
        <w:tc>
          <w:tcPr>
            <w:tcW w:w="88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 xml:space="preserve">Fornecedor </w:t>
            </w:r>
            <w:r>
              <w:rPr>
                <w:rFonts w:cs="Arial" w:ascii="Carlito" w:hAnsi="Carlito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Unidade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Quantidade Mínima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Valor Un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240"/>
        <w:ind w:right="-30" w:hanging="0"/>
        <w:jc w:val="center"/>
        <w:rPr>
          <w:rFonts w:ascii="Carlito" w:hAnsi="Carlito" w:cs="Arial"/>
          <w:color w:val="000000"/>
          <w:sz w:val="20"/>
          <w:szCs w:val="20"/>
        </w:rPr>
      </w:pPr>
      <w:r>
        <w:rPr>
          <w:rFonts w:cs="Arial" w:ascii="Carlito" w:hAnsi="Carlito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240"/>
        <w:ind w:right="-30" w:hanging="0"/>
        <w:jc w:val="center"/>
        <w:rPr>
          <w:rFonts w:ascii="Carlito" w:hAnsi="Carlito" w:cs="Arial"/>
          <w:color w:val="000000"/>
          <w:sz w:val="20"/>
          <w:szCs w:val="20"/>
        </w:rPr>
      </w:pPr>
      <w:r>
        <w:rPr>
          <w:rFonts w:cs="Arial" w:ascii="Carlito" w:hAnsi="Carlito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240"/>
        <w:ind w:right="-30" w:hanging="0"/>
        <w:jc w:val="center"/>
        <w:rPr>
          <w:rFonts w:ascii="Carlito" w:hAnsi="Carlito" w:cs="Arial"/>
          <w:color w:val="000000"/>
          <w:sz w:val="20"/>
          <w:szCs w:val="20"/>
        </w:rPr>
      </w:pPr>
      <w:r>
        <w:rPr>
          <w:rFonts w:cs="Arial" w:ascii="Carlito" w:hAnsi="Carlito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240"/>
        <w:ind w:right="-30" w:hanging="0"/>
        <w:jc w:val="center"/>
        <w:rPr>
          <w:rFonts w:ascii="Carlito" w:hAnsi="Carlito"/>
          <w:sz w:val="20"/>
          <w:szCs w:val="20"/>
        </w:rPr>
      </w:pPr>
      <w:r>
        <w:rPr>
          <w:rFonts w:cs="Arial" w:ascii="Carlito" w:hAnsi="Carlito"/>
          <w:color w:val="000000"/>
          <w:sz w:val="20"/>
          <w:szCs w:val="20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240"/>
        <w:ind w:right="-30" w:hanging="0"/>
        <w:jc w:val="center"/>
        <w:rPr>
          <w:rFonts w:ascii="Carlito" w:hAnsi="Carlito" w:cs="Arial"/>
          <w:color w:val="000000"/>
          <w:sz w:val="20"/>
          <w:szCs w:val="20"/>
        </w:rPr>
      </w:pPr>
      <w:r>
        <w:rPr>
          <w:rFonts w:cs="Arial" w:ascii="Carlito" w:hAnsi="Carlito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0" w:type="dxa"/>
          <w:left w:w="6" w:type="dxa"/>
          <w:bottom w:w="0" w:type="dxa"/>
          <w:right w:w="10" w:type="dxa"/>
        </w:tblCellMar>
        <w:tblLook w:noVBand="0" w:val="0000" w:noHBand="0" w:lastColumn="0" w:firstColumn="0" w:lastRow="0" w:firstRow="0"/>
      </w:tblPr>
      <w:tblGrid>
        <w:gridCol w:w="695"/>
        <w:gridCol w:w="1133"/>
        <w:gridCol w:w="1253"/>
        <w:gridCol w:w="1541"/>
        <w:gridCol w:w="1122"/>
        <w:gridCol w:w="1120"/>
        <w:gridCol w:w="841"/>
        <w:gridCol w:w="840"/>
        <w:gridCol w:w="846"/>
      </w:tblGrid>
      <w:tr>
        <w:trPr>
          <w:trHeight w:val="511" w:hRule="atLeast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 xml:space="preserve">Fornecedor </w:t>
            </w:r>
            <w:r>
              <w:rPr>
                <w:rFonts w:cs="Arial" w:ascii="Carlito" w:hAnsi="Carlito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X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Unidade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Quantidade Mínima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  <w:t>Valor Un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Arial" w:ascii="Carlito" w:hAnsi="Carlito"/>
                <w:i/>
                <w:iCs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/>
              <w:ind w:right="-30" w:hanging="0"/>
              <w:jc w:val="both"/>
              <w:rPr>
                <w:rFonts w:ascii="Carlito" w:hAnsi="Carlito" w:cs="Arial"/>
                <w:sz w:val="20"/>
                <w:szCs w:val="20"/>
              </w:rPr>
            </w:pPr>
            <w:r>
              <w:rPr>
                <w:rFonts w:cs="Arial" w:ascii="Carlito" w:hAnsi="Carlito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240"/>
        <w:ind w:right="-30" w:hanging="0"/>
        <w:jc w:val="center"/>
        <w:rPr/>
      </w:pPr>
      <w:r>
        <w:rPr/>
      </w:r>
    </w:p>
    <w:sectPr>
      <w:footerReference w:type="default" r:id="rId2"/>
      <w:type w:val="nextPage"/>
      <w:pgSz w:w="11906" w:h="16838"/>
      <w:pgMar w:left="1701" w:right="1134" w:header="0" w:top="1418" w:footer="708" w:bottom="1418" w:gutter="0"/>
      <w:pgNumType w:fmt="decimal"/>
      <w:formProt w:val="false"/>
      <w:textDirection w:val="lrTb"/>
      <w:docGrid w:type="default" w:linePitch="360" w:charSpace="0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comment w:id="0" w:author="Autor" w:date="0-00-00T00:00:00Z" w:initials="A">
    <w:p>
      <w:r>
        <w:rPr>
          <w:rFonts w:ascii="Liberation Serif" w:hAnsi="Liberation Serif" w:eastAsia="DejaVu Sans" w:cs="DejaVu Sans"/>
          <w:b/>
          <w:color w:val="000000"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color w:val="000000"/>
          <w:lang w:val="en-US" w:eastAsia="en-US" w:bidi="en-US"/>
        </w:rPr>
        <w:t xml:space="preserve"> </w:t>
      </w:r>
      <w:r>
        <w:rPr>
          <w:rFonts w:ascii="Liberation Serif" w:hAnsi="Liberation Serif" w:eastAsia="DejaVu Sans" w:cs="DejaVu Sans"/>
          <w:i/>
          <w:iCs/>
          <w:color w:val="000000"/>
          <w:lang w:val="en-US" w:eastAsia="en-US" w:bidi="en-US"/>
        </w:rPr>
        <w:t>O preço registrado, com a indicação dos fornecedores, será divulgado no PNCP e disponibilizado durante a vigência da ata de registro de preços</w:t>
      </w:r>
      <w:r>
        <w:rPr>
          <w:rFonts w:ascii="Liberation Serif" w:hAnsi="Liberation Serif" w:eastAsia="DejaVu Sans" w:cs="DejaVu Sans"/>
          <w:color w:val="000000"/>
          <w:lang w:val="en-US" w:eastAsia="en-US" w:bidi="en-US"/>
        </w:rPr>
        <w:t>. (§ 4º, art. 18 do Decreto Nº11.462, de 2023.)</w:t>
      </w:r>
    </w:p>
  </w:comment>
  <w:comment w:id="1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</w:t>
      </w:r>
      <w:r>
        <w:rPr>
          <w:rFonts w:ascii="Liberation Serif" w:hAnsi="Liberation Serif" w:eastAsia="DejaVu Sans" w:cs="DejaVu Sans"/>
          <w:lang w:val="en-US" w:eastAsia="en-US" w:bidi="en-US"/>
        </w:rPr>
        <w:t>. No artigo 82, § 3º, da Lei 14.133, permite-se o registro de preços com indicação limitada a unidades de contratação,</w:t>
      </w:r>
      <w:r>
        <w:rPr>
          <w:rFonts w:ascii="Liberation Serif" w:hAnsi="Liberation Serif" w:eastAsia="DejaVu Sans" w:cs="DejaVu Sans"/>
          <w:b/>
          <w:bCs/>
          <w:lang w:val="en-US" w:eastAsia="en-US" w:bidi="en-US"/>
        </w:rPr>
        <w:t xml:space="preserve"> sem indicação do total a ser adquirido</w:t>
      </w:r>
      <w:r>
        <w:rPr>
          <w:rFonts w:ascii="Liberation Serif" w:hAnsi="Liberation Serif" w:eastAsia="DejaVu Sans" w:cs="DejaVu Sans"/>
          <w:lang w:val="en-US" w:eastAsia="en-US" w:bidi="en-US"/>
        </w:rPr>
        <w:t>, apenas nas seguintes situações: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 - quando for a primeira licitação para o objeto e o órgão ou entidade não tiver registro de demandas anteriores;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II - no caso de alimento perecível;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III - no caso em que o serviço estiver integrado ao fornecimento de bens.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Nessas situações, é obrigatória a indicação do valor máximo da despesa e é vedada a participação de outro órgão ou entidade na ata.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O artigo 4º do Decreto 11.462, de 31/3/2023, possui a mesma redação da lei.</w:t>
      </w:r>
    </w:p>
  </w:comment>
  <w:comment w:id="2" w:author="Autor" w:date="0-00-00T00:00:00Z" w:initials="A">
    <w:p>
      <w:r>
        <w:rPr>
          <w:rFonts w:ascii="Liberation Serif" w:hAnsi="Liberation Serif" w:eastAsia="DejaVu Sans" w:cs="DejaVu Sans"/>
          <w:b/>
          <w:color w:val="000000"/>
          <w:lang w:val="en-US" w:eastAsia="en-US" w:bidi="en-US"/>
        </w:rPr>
        <w:t>Nota Explicativa</w:t>
      </w:r>
      <w:r>
        <w:rPr>
          <w:rFonts w:ascii="Liberation Serif" w:hAnsi="Liberation Serif" w:eastAsia="DejaVu Sans" w:cs="DejaVu Sans"/>
          <w:color w:val="000000"/>
          <w:lang w:val="en-US" w:eastAsia="en-US" w:bidi="en-US"/>
        </w:rPr>
        <w:t>: A listagem deve obedecer a ordem prevista no inciso II e § 2º do art. 18 do Decreto nº 11.462, de 2023.</w:t>
      </w:r>
    </w:p>
  </w:comment>
  <w:comment w:id="4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3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 Não será permitida participação de outro órgão ou entidade quando não houver indicação dos quantitativos totais a ser contratados, na forma do art. 4º e parágrafo único do Decreto nº 11.462/2023.</w:t>
      </w:r>
    </w:p>
  </w:comment>
  <w:comment w:id="5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: A possibilidade de vedação de adesão existe, por exemplo, na hipótese do parágrafo único do art. 4º do Decreto: 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"Art. 4º  É permitido o registro de preços com indicação limitada a unidades de contratação, sem indicação do total a ser adquirido, apenas nas seguintes situações: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 - quando for a primeira licitação ou contratação direta para o objeto e o órgão ou a entidade não tiver registro de demandas anteriores;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II - no caso de alimento perecível; ou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III - no caso em que o serviço estiver integrado ao fornecimento de bens.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Parágrafo único.  Nas situações referidas no caput, é obrigatória a indicação do valor máximo da despesa e é vedada a participação de outro órgão ou entidade na ata."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I - realizar procedimento público de intenção de registro de preços - IRP e, quando for o caso, estabelecer o número máximo de participantes, em conformidade com sua capacidade de gerenciamento;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[...]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XI - deliberar quanto à adesão posterior de órgãos e entidades que não tenham manifestado interesse durante o período de divulgação da IRP;"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Assim, desde que devidamente justificado nos Estudos Técnicos Preliminares, poderá ser vedada a adesão, de forma prévia, a órgãos não-participantes.</w:t>
      </w:r>
    </w:p>
  </w:comment>
  <w:comment w:id="6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</w:t>
      </w:r>
      <w:r>
        <w:rPr>
          <w:rFonts w:ascii="Liberation Serif" w:hAnsi="Liberation Serif" w:eastAsia="DejaVu Sans" w:cs="DejaVu Sans"/>
          <w:lang w:val="en-US" w:eastAsia="en-US" w:bidi="en-US"/>
        </w:rPr>
        <w:t>: O artigo 84 da Lei 14.133 fixa o prazo de 1 (um) ano para a ata de registro de preços, admitindo a prorrogação por igual período.</w:t>
      </w:r>
    </w:p>
  </w:comment>
  <w:comment w:id="7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 Restringindo-se o reequilíbrio a alguns itens fornecidos em circunstâncias específicas, a ata poderá prever preços distintos na forma do artigo 82, III, da Lei nº 14.133, de 2021.</w:t>
      </w:r>
    </w:p>
  </w:comment>
  <w:comment w:id="8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 O §3º do art. 28 do Decreto nº 11.462/2023,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9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 A possibilidade de remanejamento está prevista no art. 30 do Decreto nº 11.462/2023</w:t>
      </w:r>
    </w:p>
  </w:comment>
  <w:comment w:id="10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 Art. 32. </w:t>
      </w:r>
      <w:r>
        <w:rPr>
          <w:rFonts w:ascii="Liberation Serif" w:hAnsi="Liberation Serif" w:eastAsia="DejaVu Sans" w:cs="DejaVu Sans"/>
          <w:color w:val="000000"/>
          <w:lang w:val="en-US" w:eastAsia="en-US" w:bidi="en-US"/>
        </w:rPr>
        <w:t> Serão observadas as seguintes regras de controle para a adesão à ata de registro de preços de que trata o art. 31:</w:t>
      </w:r>
    </w:p>
    <w:p>
      <w:r>
        <w:rPr>
          <w:rFonts w:ascii="Liberation Serif" w:hAnsi="Liberation Serif" w:eastAsia="DejaVu Sans" w:cs="DejaVu Sans"/>
          <w:color w:val="000000"/>
          <w:lang w:val="en-US" w:eastAsia="en-US" w:bidi="en-US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>
      <w:r>
        <w:rPr>
          <w:rFonts w:ascii="Liberation Serif" w:hAnsi="Liberation Serif" w:eastAsia="DejaVu Sans" w:cs="DejaVu Sans"/>
          <w:color w:val="000000"/>
          <w:lang w:val="en-US" w:eastAsia="en-US" w:bidi="en-US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11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 xml:space="preserve">Nota Explicativa: </w:t>
      </w:r>
      <w:r>
        <w:rPr>
          <w:rFonts w:ascii="Liberation Serif" w:hAnsi="Liberation Serif" w:eastAsia="DejaVu Sans" w:cs="DejaVu Sans"/>
          <w:lang w:val="en-US" w:eastAsia="en-US" w:bidi="en-US"/>
        </w:rPr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>§ 5º A regra do § 4º não se aplicará aos licitantes remanescentes convocados na forma do inciso I do § 3º."</w:t>
      </w:r>
    </w:p>
  </w:comment>
  <w:comment w:id="12" w:author="Autor" w:date="0-00-00T00:00:00Z" w:initials="A">
    <w:p>
      <w:r>
        <w:rPr>
          <w:rFonts w:ascii="Liberation Serif" w:hAnsi="Liberation Serif" w:eastAsia="DejaVu Sans" w:cs="DejaVu Sans"/>
          <w:b/>
          <w:lang w:val="en-US" w:eastAsia="en-US" w:bidi="en-US"/>
        </w:rPr>
        <w:t>Nota Explicativa:</w:t>
      </w:r>
      <w:r>
        <w:rPr>
          <w:rFonts w:ascii="Liberation Serif" w:hAnsi="Liberation Serif" w:eastAsia="DejaVu Sans" w:cs="DejaVu Sans"/>
          <w:lang w:val="en-US" w:eastAsia="en-US" w:bidi="en-US"/>
        </w:rPr>
        <w:t xml:space="preserve"> Caso haja previsão de preços diferentes conforme artigo 82, III, da Lei nº 14.133, de 2021, e artigo 15, III, da Lei nº 11.462, de 2023, deverá ser incluída tabela com os fornecedores e seus respectivos preços.</w:t>
      </w:r>
    </w:p>
    <w:p>
      <w:r>
        <w:rPr>
          <w:rFonts w:ascii="Liberation Serif" w:hAnsi="Liberation Serif" w:eastAsia="DejaVu Sans" w:cs="DejaVu Sans"/>
          <w:lang w:val="en-US" w:eastAsia="en-US" w:bidi="en-US"/>
        </w:rP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Ecofont_Spranq_eco_Sans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Carlito">
    <w:altName w:val="Calibri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Rodap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0"/>
        <w:b/>
        <w:rFonts w:ascii="Carlito" w:hAnsi="Carlito"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  <w:rFonts w:ascii="Carlito" w:hAnsi="Carlito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/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bidi w:val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nfase1Char" w:customStyle="1">
    <w:name w:val="Grade Colorida - Ênfase 1 Char"/>
    <w:link w:val="GradeColorida-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link w:val="Corpodetexto"/>
    <w:uiPriority w:val="99"/>
    <w:qFormat/>
    <w:rsid w:val="002f4c05"/>
    <w:rPr>
      <w:sz w:val="24"/>
      <w:szCs w:val="24"/>
    </w:rPr>
  </w:style>
  <w:style w:type="character" w:styleId="LinkdaInternet">
    <w:name w:val="Link da Internet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link w:val="Cabealho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Citao"/>
    <w:uiPriority w:val="29"/>
    <w:qFormat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styleId="Ttulo1Char" w:customStyle="1">
    <w:name w:val="Título 1 Char"/>
    <w:basedOn w:val="DefaultParagraphFont"/>
    <w:link w:val="Ttulo1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val="365F91" w:themeColor="accent1" w:themeShade="bf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link w:val="Textodebalo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RedChar" w:customStyle="1">
    <w:name w:val="Nível 2 -Red Char"/>
    <w:basedOn w:val="Nivel2Char"/>
    <w:link w:val="Nvel2-Red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link w:val="ou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RChar" w:customStyle="1">
    <w:name w:val="Nível 3-R Char"/>
    <w:basedOn w:val="DefaultParagraphFont"/>
    <w:link w:val="Nvel3-R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character" w:styleId="ListLabel1">
    <w:name w:val="ListLabel 1"/>
    <w:qFormat/>
    <w:rPr>
      <w:b/>
      <w:color w:val="auto"/>
    </w:rPr>
  </w:style>
  <w:style w:type="character" w:styleId="ListLabel2">
    <w:name w:val="ListLabel 2"/>
    <w:qFormat/>
    <w:rPr>
      <w:sz w:val="20"/>
      <w:szCs w:val="20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b/>
    </w:rPr>
  </w:style>
  <w:style w:type="character" w:styleId="ListLabel6">
    <w:name w:val="ListLabel 6"/>
    <w:qFormat/>
    <w:rPr>
      <w:rFonts w:cs="Arial"/>
      <w:b w:val="false"/>
      <w:i w:val="false"/>
      <w:strike w:val="false"/>
      <w:dstrike w:val="false"/>
      <w:color w:val="auto"/>
      <w:sz w:val="20"/>
      <w:szCs w:val="20"/>
      <w:u w:val="none"/>
      <w:effect w:val="none"/>
    </w:rPr>
  </w:style>
  <w:style w:type="character" w:styleId="ListLabel7">
    <w:name w:val="ListLabel 7"/>
    <w:qFormat/>
    <w:rPr>
      <w:rFonts w:cs="Arial"/>
      <w:b w:val="false"/>
      <w:i w:val="false"/>
      <w:strike w:val="false"/>
      <w:dstrike w:val="false"/>
      <w:color w:val="auto"/>
      <w:sz w:val="20"/>
      <w:szCs w:val="20"/>
      <w:u w:val="none"/>
      <w:effect w:val="none"/>
    </w:rPr>
  </w:style>
  <w:style w:type="character" w:styleId="ListLabel8">
    <w:name w:val="ListLabel 8"/>
    <w:qFormat/>
    <w:rPr>
      <w:b/>
    </w:rPr>
  </w:style>
  <w:style w:type="character" w:styleId="ListLabel9">
    <w:name w:val="ListLabel 9"/>
    <w:qFormat/>
    <w:rPr>
      <w:rFonts w:cs="Arial"/>
      <w:b w:val="false"/>
      <w:i w:val="false"/>
      <w:strike w:val="false"/>
      <w:dstrike w:val="false"/>
      <w:color w:val="auto"/>
      <w:sz w:val="20"/>
      <w:szCs w:val="20"/>
      <w:u w:val="none"/>
      <w:effect w:val="none"/>
    </w:rPr>
  </w:style>
  <w:style w:type="character" w:styleId="ListLabel10">
    <w:name w:val="ListLabel 10"/>
    <w:qFormat/>
    <w:rPr>
      <w:rFonts w:cs="Arial"/>
      <w:b w:val="false"/>
      <w:i w:val="false"/>
      <w:strike w:val="false"/>
      <w:dstrike w:val="false"/>
      <w:color w:val="auto"/>
      <w:sz w:val="20"/>
      <w:szCs w:val="20"/>
      <w:u w:val="none"/>
      <w:effect w:val="none"/>
    </w:rPr>
  </w:style>
  <w:style w:type="character" w:styleId="ListLabel11">
    <w:name w:val="ListLabel 11"/>
    <w:qFormat/>
    <w:rPr>
      <w:i w:val="false"/>
      <w:iCs/>
      <w:color w:val="auto"/>
    </w:rPr>
  </w:style>
  <w:style w:type="character" w:styleId="ListLabel12">
    <w:name w:val="ListLabel 12"/>
    <w:qFormat/>
    <w:rPr>
      <w:rFonts w:ascii="Carlito" w:hAnsi="Carlito"/>
      <w:b/>
      <w:color w:val="auto"/>
      <w:sz w:val="20"/>
    </w:rPr>
  </w:style>
  <w:style w:type="character" w:styleId="ListLabel13">
    <w:name w:val="ListLabel 13"/>
    <w:qFormat/>
    <w:rPr>
      <w:rFonts w:ascii="Carlito" w:hAnsi="Carlito"/>
      <w:sz w:val="20"/>
      <w:szCs w:val="20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e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GradeColoridanfase11" w:customStyle="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 w:hanging="0"/>
      <w:contextualSpacing/>
    </w:pPr>
    <w:rPr/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val="000000" w:themeColor="text1"/>
    </w:rPr>
  </w:style>
  <w:style w:type="paragraph" w:styleId="Nivel1" w:customStyle="1">
    <w:name w:val="Nivel1"/>
    <w:basedOn w:val="Ttulo1"/>
    <w:next w:val="Normal"/>
    <w:link w:val="Nivel1Char"/>
    <w:qFormat/>
    <w:rsid w:val="006362ae"/>
    <w:pPr>
      <w:widowControl w:val="false"/>
      <w:spacing w:lineRule="auto" w:line="276" w:before="480" w:after="120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qFormat/>
    <w:rsid w:val="00636001"/>
    <w:pPr>
      <w:tabs>
        <w:tab w:val="left" w:pos="567" w:leader="none"/>
      </w:tabs>
      <w:spacing w:lineRule="auto" w:line="276" w:before="120" w:after="120"/>
      <w:ind w:left="0" w:hanging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bidi w:val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spacing w:lineRule="auto" w:line="276" w:before="120" w:after="120"/>
      <w:ind w:left="0" w:hanging="0"/>
      <w:jc w:val="both"/>
    </w:pPr>
    <w:rPr>
      <w:rFonts w:ascii="Arial" w:hAnsi="Arial" w:cs="Arial"/>
      <w:sz w:val="20"/>
      <w:szCs w:val="20"/>
    </w:rPr>
  </w:style>
  <w:style w:type="paragraph" w:styleId="Nvel2Red" w:customStyle="1">
    <w:name w:val="Nível 2 -Red"/>
    <w:basedOn w:val="Nivel2"/>
    <w:link w:val="Nvel2-RedChar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link w:val="ouChar"/>
    <w:qFormat/>
    <w:rsid w:val="009d6ccc"/>
    <w:pPr>
      <w:spacing w:lineRule="auto" w:line="259" w:before="60" w:after="60"/>
      <w:ind w:left="0" w:hanging="0"/>
      <w:contextualSpacing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R" w:customStyle="1">
    <w:name w:val="Nível 3-R"/>
    <w:basedOn w:val="Normal"/>
    <w:link w:val="Nvel3-RChar"/>
    <w:qFormat/>
    <w:rsid w:val="00b73e47"/>
    <w:pPr>
      <w:spacing w:lineRule="auto" w:line="276" w:before="120" w:after="120"/>
      <w:ind w:left="284" w:hanging="0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left="567" w:hanging="0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comments" Target="comment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/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/>
</file>

<file path=customXml/itemProps4.xml><?xml version="1.0" encoding="utf-8"?>
<ds:datastoreItem xmlns:ds="http://schemas.openxmlformats.org/officeDocument/2006/customXml" ds:itemID="{2E413F30-1464-43D5-A034-C65A5C7E8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LibreOffice/6.0.7.3$Linux_X86_64 LibreOffice_project/00m0$Build-3</Application>
  <Pages>6</Pages>
  <Words>2944</Words>
  <Characters>16293</Characters>
  <CharactersWithSpaces>19020</CharactersWithSpaces>
  <Paragraphs>158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creator/>
  <dc:description/>
  <dc:language>pt-BR</dc:language>
  <cp:lastModifiedBy/>
  <dcterms:modified xsi:type="dcterms:W3CDTF">2023-06-22T15:26:22Z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0x01010012A2765E7DFD38469B2E626874CD0041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