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left="0" w:right="0" w:hanging="0"/>
        <w:jc w:val="center"/>
        <w:rPr>
          <w:rFonts w:ascii="Carlito" w:hAnsi="Carlito"/>
        </w:rPr>
      </w:pPr>
      <w:r>
        <w:drawing>
          <wp:anchor behindDoc="0" distT="0" distB="0" distL="114300" distR="119380" simplePos="0" locked="0" layoutInCell="1" allowOverlap="1" relativeHeight="2">
            <wp:simplePos x="0" y="0"/>
            <wp:positionH relativeFrom="column">
              <wp:align>center</wp:align>
            </wp:positionH>
            <wp:positionV relativeFrom="paragraph">
              <wp:posOffset>6985</wp:posOffset>
            </wp:positionV>
            <wp:extent cx="737870" cy="806450"/>
            <wp:effectExtent l="0" t="0" r="0" b="0"/>
            <wp:wrapTopAndBottom/>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Arial" w:cs="Arial" w:ascii="Carlito" w:hAnsi="Carlito"/>
          <w:b/>
          <w:i w:val="false"/>
          <w:iCs w:val="false"/>
          <w:color w:val="000000"/>
          <w:spacing w:val="0"/>
          <w:sz w:val="28"/>
          <w:shd w:fill="FFFFFF" w:val="clear"/>
        </w:rPr>
        <w:t>M</w:t>
      </w:r>
      <w:r>
        <w:rPr>
          <w:rFonts w:eastAsia="Arial" w:cs="Arial" w:ascii="Carlito" w:hAnsi="Carlito"/>
          <w:b/>
          <w:i w:val="false"/>
          <w:iCs w:val="false"/>
          <w:color w:val="000000"/>
          <w:spacing w:val="0"/>
          <w:sz w:val="28"/>
          <w:shd w:fill="FFFFFF" w:val="clear"/>
        </w:rPr>
        <w:t>ARINHA DO BRASIL</w:t>
      </w:r>
    </w:p>
    <w:p>
      <w:pPr>
        <w:pStyle w:val="Normal"/>
        <w:widowControl w:val="false"/>
        <w:spacing w:lineRule="auto" w:line="240" w:before="0" w:after="0"/>
        <w:ind w:left="0" w:right="0" w:hanging="0"/>
        <w:jc w:val="center"/>
        <w:rPr>
          <w:rFonts w:ascii="Carlito" w:hAnsi="Carlito"/>
        </w:rPr>
      </w:pPr>
      <w:r>
        <w:rPr>
          <w:rFonts w:eastAsia="Arial" w:cs="Arial" w:ascii="Carlito" w:hAnsi="Carlito"/>
          <w:b/>
          <w:i w:val="false"/>
          <w:iCs w:val="false"/>
          <w:color w:val="000000"/>
          <w:spacing w:val="0"/>
          <w:sz w:val="28"/>
          <w:szCs w:val="20"/>
          <w:shd w:fill="FFFFFF" w:val="clear"/>
        </w:rPr>
        <w:t>COMANDO DO 1º DISTRITO NAVAL</w:t>
      </w:r>
    </w:p>
    <w:p>
      <w:pPr>
        <w:pStyle w:val="Normal"/>
        <w:spacing w:lineRule="auto" w:line="240" w:before="120" w:after="288"/>
        <w:ind w:firstLine="709"/>
        <w:jc w:val="center"/>
        <w:rPr/>
      </w:pPr>
      <w:r>
        <w:rPr>
          <w:rFonts w:cs="Arial" w:ascii="Carlito" w:hAnsi="Carlito"/>
          <w:i w:val="false"/>
          <w:iCs w:val="false"/>
          <w:color w:val="000000"/>
          <w:sz w:val="20"/>
          <w:szCs w:val="20"/>
        </w:rPr>
        <w:t xml:space="preserve">(Processo Administrativo </w:t>
      </w:r>
      <w:bookmarkStart w:id="0" w:name="__DdeLink__39701_3172998283"/>
      <w:r>
        <w:rPr>
          <w:rFonts w:cs="Arial" w:ascii="Carlito" w:hAnsi="Carlito"/>
          <w:i w:val="false"/>
          <w:iCs w:val="false"/>
          <w:color w:val="000000"/>
          <w:sz w:val="20"/>
          <w:szCs w:val="20"/>
        </w:rPr>
        <w:t>n</w:t>
      </w:r>
      <w:r>
        <w:rPr>
          <w:rFonts w:cs="Arial" w:ascii="Carlito" w:hAnsi="Carlito"/>
          <w:bCs/>
          <w:i w:val="false"/>
          <w:iCs w:val="false"/>
          <w:color w:val="000000"/>
          <w:sz w:val="20"/>
          <w:szCs w:val="20"/>
        </w:rPr>
        <w:t xml:space="preserve">° </w:t>
      </w:r>
      <w:bookmarkStart w:id="1" w:name="__DdeLink__1612_1263465534"/>
      <w:r>
        <w:rPr>
          <w:rFonts w:cs="Arial" w:ascii="Carlito" w:hAnsi="Carlito"/>
          <w:bCs/>
          <w:i w:val="false"/>
          <w:iCs w:val="false"/>
          <w:color w:val="000000"/>
          <w:sz w:val="20"/>
          <w:szCs w:val="20"/>
        </w:rPr>
        <w:t>62002.007920/2023-9</w:t>
      </w:r>
      <w:bookmarkEnd w:id="0"/>
      <w:bookmarkEnd w:id="1"/>
      <w:r>
        <w:rPr>
          <w:rFonts w:cs="Arial" w:ascii="Carlito" w:hAnsi="Carlito"/>
          <w:bCs/>
          <w:i w:val="false"/>
          <w:iCs w:val="false"/>
          <w:color w:val="000000"/>
          <w:sz w:val="20"/>
          <w:szCs w:val="20"/>
        </w:rPr>
        <w:t>1)</w:t>
      </w:r>
    </w:p>
    <w:p>
      <w:pPr>
        <w:pStyle w:val="Nivel01"/>
        <w:spacing w:lineRule="auto" w:line="240" w:before="177" w:after="345"/>
        <w:ind w:left="0" w:hanging="0"/>
        <w:rPr>
          <w:rFonts w:ascii="Carlito" w:hAnsi="Carlito"/>
        </w:rPr>
      </w:pPr>
      <w:r>
        <w:rPr>
          <w:rFonts w:ascii="Carlito" w:hAnsi="Carlito"/>
          <w:i w:val="false"/>
          <w:iCs w:val="false"/>
          <w:sz w:val="24"/>
          <w:szCs w:val="24"/>
        </w:rPr>
        <w:t>1.</w:t>
        <w:tab/>
        <w:t>CONDIÇÕES GERAIS DA CONTRATAÇÃO</w:t>
      </w:r>
    </w:p>
    <w:p>
      <w:pPr>
        <w:pStyle w:val="Nivel2"/>
        <w:widowControl/>
        <w:bidi w:val="0"/>
        <w:spacing w:lineRule="auto" w:line="240" w:before="177" w:after="345"/>
        <w:ind w:left="0" w:right="0" w:firstLine="567"/>
        <w:jc w:val="both"/>
        <w:rPr>
          <w:rFonts w:ascii="Carlito" w:hAnsi="Carlito"/>
        </w:rPr>
      </w:pPr>
      <w:r>
        <w:rPr>
          <w:rFonts w:ascii="Carlito" w:hAnsi="Carlito"/>
          <w:b/>
          <w:bCs/>
          <w:i w:val="false"/>
          <w:iCs w:val="false"/>
        </w:rPr>
        <w:t>1.1.</w:t>
        <w:tab/>
      </w:r>
      <w:r>
        <w:rPr>
          <w:rFonts w:eastAsia="Arial" w:cs="Calibri" w:ascii="Carlito" w:hAnsi="Carlito"/>
          <w:b w:val="false"/>
          <w:bCs w:val="false"/>
          <w:i w:val="false"/>
          <w:iCs w:val="false"/>
          <w:sz w:val="20"/>
          <w:szCs w:val="20"/>
        </w:rPr>
        <w:t>C</w:t>
      </w:r>
      <w:r>
        <w:rPr>
          <w:rFonts w:eastAsia="Arial" w:cs="Calibri" w:ascii="Carlito" w:hAnsi="Carlito"/>
          <w:b w:val="false"/>
          <w:bCs w:val="false"/>
          <w:i w:val="false"/>
          <w:iCs w:val="false"/>
          <w:color w:val="000000"/>
          <w:sz w:val="20"/>
          <w:szCs w:val="20"/>
        </w:rPr>
        <w:t xml:space="preserve">ontratação de </w:t>
      </w:r>
      <w:r>
        <w:rPr>
          <w:rFonts w:eastAsia="Arial" w:cs="Calibri" w:ascii="Carlito" w:hAnsi="Carlito"/>
          <w:b w:val="false"/>
          <w:bCs w:val="false"/>
          <w:i w:val="false"/>
          <w:iCs w:val="false"/>
          <w:sz w:val="20"/>
          <w:szCs w:val="20"/>
        </w:rPr>
        <w:t>empresa especializada na prestação de serviços de SEGURO VEICULAR</w:t>
      </w:r>
      <w:r>
        <w:rPr>
          <w:rFonts w:eastAsia="Arial" w:cs="Calibri" w:ascii="Carlito" w:hAnsi="Carlito"/>
          <w:b w:val="false"/>
          <w:bCs w:val="false"/>
          <w:i w:val="false"/>
          <w:iCs w:val="false"/>
          <w:color w:val="000000"/>
          <w:sz w:val="20"/>
          <w:szCs w:val="20"/>
          <w:highlight w:val="white"/>
        </w:rPr>
        <w:t xml:space="preserve"> garantindo a cobertura de despesas frente a eventuais danos que possam atingir os veículos desta Organização Militar, principalmente por se tratar de viaturas que circulam diariamente, estando assim em plena atividade, minimizando os riscos de possíveis perdas patrimoniais e garantir assistência em casos de acidentes.</w:t>
      </w:r>
    </w:p>
    <w:tbl>
      <w:tblPr>
        <w:tblW w:w="10438" w:type="dxa"/>
        <w:jc w:val="left"/>
        <w:tblInd w:w="-421" w:type="dxa"/>
        <w:tblCellMar>
          <w:top w:w="0" w:type="dxa"/>
          <w:left w:w="103" w:type="dxa"/>
          <w:bottom w:w="0" w:type="dxa"/>
          <w:right w:w="108" w:type="dxa"/>
        </w:tblCellMar>
        <w:tblLook w:firstRow="1" w:noVBand="1" w:lastRow="0" w:firstColumn="1" w:lastColumn="0" w:noHBand="0" w:val="04a0"/>
      </w:tblPr>
      <w:tblGrid>
        <w:gridCol w:w="1898"/>
        <w:gridCol w:w="861"/>
        <w:gridCol w:w="5233"/>
        <w:gridCol w:w="2445"/>
      </w:tblGrid>
      <w:tr>
        <w:trPr/>
        <w:tc>
          <w:tcPr>
            <w:tcW w:w="1898" w:type="dxa"/>
            <w:vMerge w:val="restart"/>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center"/>
              <w:rPr>
                <w:rFonts w:ascii="Carlito" w:hAnsi="Carlito" w:eastAsia="Calibri" w:cs="Calibri"/>
                <w:b w:val="false"/>
                <w:b w:val="false"/>
                <w:i w:val="false"/>
                <w:i w:val="false"/>
                <w:iCs w:val="false"/>
                <w:color w:val="FF0000"/>
                <w:spacing w:val="0"/>
                <w:sz w:val="24"/>
                <w:szCs w:val="24"/>
                <w:highlight w:val="white"/>
              </w:rPr>
            </w:pPr>
            <w:r>
              <w:rPr>
                <w:rFonts w:eastAsia="Arial" w:cs="Arial" w:ascii="Carlito" w:hAnsi="Carlito"/>
                <w:b/>
                <w:i w:val="false"/>
                <w:iCs w:val="false"/>
                <w:color w:val="000000"/>
                <w:spacing w:val="0"/>
                <w:sz w:val="22"/>
                <w:szCs w:val="22"/>
                <w:highlight w:val="white"/>
              </w:rPr>
              <w:t>GRUPO</w:t>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eastAsia="Arial" w:cs="Arial"/>
                <w:b/>
                <w:b/>
                <w:color w:val="000000"/>
                <w:sz w:val="22"/>
                <w:szCs w:val="22"/>
              </w:rPr>
            </w:pPr>
            <w:r>
              <w:rPr>
                <w:rFonts w:eastAsia="Arial" w:cs="Arial"/>
                <w:b/>
                <w:color w:val="000000"/>
                <w:sz w:val="22"/>
                <w:szCs w:val="22"/>
              </w:rPr>
            </w:r>
          </w:p>
          <w:p>
            <w:pPr>
              <w:pStyle w:val="Normal"/>
              <w:widowControl w:val="false"/>
              <w:suppressAutoHyphens w:val="true"/>
              <w:spacing w:lineRule="auto" w:line="240" w:before="120" w:after="288"/>
              <w:ind w:left="0" w:right="0" w:hanging="0"/>
              <w:jc w:val="center"/>
              <w:rPr>
                <w:rFonts w:ascii="Carlito" w:hAnsi="Carlito" w:eastAsia="Calibri" w:cs="Calibri"/>
                <w:b w:val="false"/>
                <w:b w:val="false"/>
                <w:i w:val="false"/>
                <w:i w:val="false"/>
                <w:iCs w:val="false"/>
                <w:color w:val="FF0000"/>
                <w:spacing w:val="0"/>
                <w:sz w:val="24"/>
                <w:szCs w:val="24"/>
                <w:highlight w:val="white"/>
              </w:rPr>
            </w:pPr>
            <w:r>
              <w:rPr>
                <w:rFonts w:eastAsia="Arial" w:cs="Arial" w:ascii="Carlito" w:hAnsi="Carlito"/>
                <w:b/>
                <w:i w:val="false"/>
                <w:iCs w:val="false"/>
                <w:color w:val="000000"/>
                <w:spacing w:val="0"/>
                <w:sz w:val="22"/>
                <w:szCs w:val="22"/>
                <w:highlight w:val="white"/>
              </w:rPr>
              <w:t>1</w:t>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center"/>
              <w:rPr/>
            </w:pPr>
            <w:r>
              <w:rPr>
                <w:rFonts w:eastAsia="Arial" w:cs="Arial" w:ascii="Carlito" w:hAnsi="Carlito"/>
                <w:b/>
                <w:i w:val="false"/>
                <w:iCs w:val="false"/>
                <w:color w:val="000000"/>
                <w:spacing w:val="0"/>
                <w:sz w:val="22"/>
                <w:szCs w:val="22"/>
              </w:rPr>
              <w:t>ITEM</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center"/>
              <w:rPr/>
            </w:pPr>
            <w:r>
              <w:rPr>
                <w:rFonts w:eastAsia="Arial" w:cs="Arial" w:ascii="Carlito" w:hAnsi="Carlito"/>
                <w:b/>
                <w:i w:val="false"/>
                <w:iCs w:val="false"/>
                <w:color w:val="000000"/>
                <w:spacing w:val="0"/>
                <w:sz w:val="22"/>
                <w:szCs w:val="22"/>
              </w:rPr>
              <w:t>VEÍCULO/ MODELO</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bidi w:val="0"/>
              <w:spacing w:lineRule="auto" w:line="240" w:before="120" w:after="288"/>
              <w:ind w:left="0" w:right="0" w:hanging="0"/>
              <w:jc w:val="center"/>
              <w:rPr/>
            </w:pPr>
            <w:r>
              <w:rPr>
                <w:rFonts w:eastAsia="Calibri" w:cs="Calibri" w:ascii="Carlito" w:hAnsi="Carlito"/>
                <w:b/>
                <w:bCs/>
                <w:i w:val="false"/>
                <w:iCs w:val="false"/>
                <w:color w:val="000000"/>
                <w:sz w:val="22"/>
                <w:szCs w:val="22"/>
                <w:highlight w:val="white"/>
              </w:rPr>
              <w:t xml:space="preserve">CHASSI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eastAsia="Arial" w:cs="Arial" w:ascii="Carlito" w:hAnsi="Carlito"/>
                <w:b/>
                <w:i w:val="false"/>
                <w:iCs w:val="false"/>
                <w:color w:val="000000"/>
                <w:spacing w:val="0"/>
                <w:sz w:val="22"/>
                <w:szCs w:val="22"/>
              </w:rPr>
              <w:t xml:space="preserve">  </w:t>
            </w:r>
            <w:r>
              <w:rPr>
                <w:rFonts w:eastAsia="Arial" w:cs="Arial" w:ascii="Carlito" w:hAnsi="Carlito"/>
                <w:b/>
                <w:i w:val="false"/>
                <w:iCs w:val="false"/>
                <w:color w:val="000000"/>
                <w:spacing w:val="0"/>
                <w:sz w:val="22"/>
                <w:szCs w:val="22"/>
              </w:rPr>
              <w:t>1</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COROLLA SEDAN  XEI 2.0 16V (AUT.)(FLEX) A/G 4P2021</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BRB33BE5M2055489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spacing w:lineRule="auto" w:line="240"/>
              <w:rPr>
                <w:rFonts w:ascii="Carlito" w:hAnsi="Carlito"/>
                <w:i w:val="false"/>
                <w:i w:val="false"/>
                <w:iCs w:val="false"/>
              </w:rPr>
            </w:pPr>
            <w:r>
              <w:rPr>
                <w:rFonts w:ascii="Carlito" w:hAnsi="Carlito"/>
                <w:i w:val="false"/>
                <w:iCs w:val="fals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eastAsia="Arial" w:cs="Arial" w:ascii="Carlito" w:hAnsi="Carlito"/>
                <w:b/>
                <w:i w:val="false"/>
                <w:iCs w:val="false"/>
                <w:color w:val="000000"/>
                <w:spacing w:val="0"/>
                <w:sz w:val="22"/>
                <w:szCs w:val="22"/>
              </w:rPr>
              <w:t xml:space="preserve">  </w:t>
            </w:r>
            <w:r>
              <w:rPr>
                <w:rFonts w:eastAsia="Arial" w:cs="Arial" w:ascii="Carlito" w:hAnsi="Carlito"/>
                <w:b/>
                <w:i w:val="false"/>
                <w:iCs w:val="false"/>
                <w:color w:val="000000"/>
                <w:spacing w:val="0"/>
                <w:sz w:val="22"/>
                <w:szCs w:val="22"/>
              </w:rPr>
              <w:t>2</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COROLLA SEDAN  XEI 2.0 16V (AUT.)(FLEX) A/G 4P 2021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9BRB33BE4M2035332</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spacing w:lineRule="auto" w:line="240"/>
              <w:rPr>
                <w:rFonts w:ascii="Carlito" w:hAnsi="Carlito"/>
                <w:i w:val="false"/>
                <w:i w:val="false"/>
                <w:iCs w:val="false"/>
              </w:rPr>
            </w:pPr>
            <w:r>
              <w:rPr>
                <w:rFonts w:ascii="Carlito" w:hAnsi="Carlito"/>
                <w:i w:val="false"/>
                <w:iCs w:val="fals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eastAsia="Arial" w:cs="Arial" w:ascii="Carlito" w:hAnsi="Carlito"/>
                <w:b/>
                <w:i w:val="false"/>
                <w:iCs w:val="false"/>
                <w:color w:val="000000"/>
                <w:spacing w:val="0"/>
                <w:sz w:val="22"/>
                <w:szCs w:val="22"/>
              </w:rPr>
              <w:t xml:space="preserve">  </w:t>
            </w:r>
            <w:r>
              <w:rPr>
                <w:rFonts w:eastAsia="Arial" w:cs="Arial" w:ascii="Carlito" w:hAnsi="Carlito"/>
                <w:b/>
                <w:i w:val="false"/>
                <w:iCs w:val="false"/>
                <w:color w:val="000000"/>
                <w:spacing w:val="0"/>
                <w:sz w:val="22"/>
                <w:szCs w:val="22"/>
              </w:rPr>
              <w:t>3</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C-4 LOUNGE FEEL THP 1.6 16V AT6 (FLEX) A/G 4P 2019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8BCND5GVUKG519756</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spacing w:lineRule="auto" w:line="240"/>
              <w:rPr>
                <w:rFonts w:ascii="Carlito" w:hAnsi="Carlito"/>
                <w:i w:val="false"/>
                <w:i w:val="false"/>
                <w:iCs w:val="false"/>
              </w:rPr>
            </w:pPr>
            <w:r>
              <w:rPr>
                <w:rFonts w:ascii="Carlito" w:hAnsi="Carlito"/>
                <w:i w:val="false"/>
                <w:iCs w:val="fals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4</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3VWLV6166GM033416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5</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3VWLV6161GM033498</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6</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3VWLV6168GM033479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7</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3VWLV6160GM032973</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8</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3VWLV6166GM048546</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9</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3VWLV6164GM048609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10</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3VWLV6167GM048149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11</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JETTA 2.0 TSI (TIP) (AUT) TB 16V GAS. 4P 2016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3VWLV6169GM033572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12</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8AD4DRFJUFG021126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13</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8AD4DRFJUFG021123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14</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8AD4DRFJUFG020209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15</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8AD4DRFJUFG021484</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16</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8AD4DRFJUFG020227</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17</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Corpodotexto"/>
              <w:spacing w:lineRule="auto" w:line="240" w:before="280" w:after="280"/>
              <w:rPr>
                <w:sz w:val="18"/>
                <w:szCs w:val="18"/>
              </w:rPr>
            </w:pPr>
            <w:r>
              <w:rPr>
                <w:rFonts w:ascii="Carlito" w:hAnsi="Carlito"/>
                <w:i w:val="false"/>
                <w:iCs w:val="false"/>
                <w:sz w:val="18"/>
                <w:szCs w:val="18"/>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8AD4DRFJUFG020226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18</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8AD4DRFJUFG019462</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19</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8AD4DRFJUFG020229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20</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PEUGEOT 408 SEDAN ALLURE 2.0 16V(FLEX)(TIPTR.) A/G 4P 2014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8AD4DRFJYEG033749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21</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KIA CADENZA SEDAN 3.5-AT V-6 24V GAS. 4P 2012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KNALN414BC5083849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22</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8AFTZZFFCDJ027452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23</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8AFTZZFFCDJ029254</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24</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2012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8AFTZZFFCCJ020637</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25</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2011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8AFTZZFFCBJ406832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2"/>
                <w:szCs w:val="22"/>
                <w:highlight w:val="white"/>
              </w:rPr>
              <w:t xml:space="preserve">  </w:t>
            </w:r>
            <w:r>
              <w:rPr>
                <w:rFonts w:eastAsia="Calibri" w:cs="Calibri" w:ascii="Carlito" w:hAnsi="Carlito"/>
                <w:b/>
                <w:bCs/>
                <w:i w:val="false"/>
                <w:iCs w:val="false"/>
                <w:color w:val="000000"/>
                <w:sz w:val="22"/>
                <w:szCs w:val="22"/>
                <w:highlight w:val="white"/>
              </w:rPr>
              <w:t>26</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2011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8AFTZZFFCBJ337510</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27</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FOCUS SEDAN GLX(KINETIC) 2.0 16V(FLEX) A/G 4P 2011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8AFTZZFFCBJ413479</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sz w:val="22"/>
                <w:szCs w:val="22"/>
              </w:rPr>
              <w:t xml:space="preserve">  </w:t>
            </w:r>
            <w:r>
              <w:rPr>
                <w:rFonts w:ascii="Carlito" w:hAnsi="Carlito"/>
                <w:b/>
                <w:bCs/>
                <w:i w:val="false"/>
                <w:iCs w:val="false"/>
                <w:color w:val="000000"/>
                <w:sz w:val="22"/>
                <w:szCs w:val="22"/>
              </w:rPr>
              <w:t>28</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FOCUS SEDAN GLX(KINETIC) 2.0 16V(FLEX) A/G 4P 2011</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111111"/>
                <w:spacing w:val="0"/>
                <w:sz w:val="18"/>
                <w:szCs w:val="18"/>
                <w:highlight w:val="white"/>
              </w:rPr>
              <w:t xml:space="preserve">8AFTZZFFCBJ341091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29</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FOCUS SEDAN GLX(KINETIC) 2.0 16V(FLEX) A/G 4P 2012</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8AFTZZFFCCJ018348</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30</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C-4 PALLAS GLX 2.0 16V (AUT.) A/G 4P 2013</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8BCLDRFJVDG519890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31</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C-4 PALLAS GLX 2.0 16V (AUT.) GAS. 4P 2012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8BCLDRFJVCG527179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32</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C-4 PALLAS GLX 2.0 16V (AUT.)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8BCLDRFJVDG506355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33</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NISSAN VERSA S 1.6 16V(FLEX) A/G 4P 2019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94DBCAN17KB116532</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34</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NISSAN VERSA S 1.6 16V(FLEX) A/G 4P 2019</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94DBCAN17KB116544</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35</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FIESTA SEDAN (KINETIC) 1.0 8V(FLEX) A/G 4P 2013</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9BFZF54A7D8356237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36</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FIESTA SEDAN (KINETIC) 1.0 8V(FLEX)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9BFZF54A9D8356238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 xml:space="preserve">37 </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FIESTA SEDAN (KINETIC) 1.0 8V(FLEX)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9BFZF54A2D8369476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38</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FIESTA SEDAN (KINETIC) 1.0 8V(FLEX)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9BFZF54AXD8356233</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both"/>
              <w:rPr>
                <w:rFonts w:ascii="Carlito" w:hAnsi="Carlito"/>
              </w:rPr>
            </w:pPr>
            <w:r>
              <w:rPr>
                <w:rFonts w:eastAsia="Calibri" w:cs="Calibri" w:ascii="Carlito" w:hAnsi="Carlito"/>
                <w:b/>
                <w:bCs/>
                <w:i w:val="false"/>
                <w:iCs w:val="false"/>
                <w:color w:val="000000"/>
                <w:sz w:val="24"/>
                <w:highlight w:val="white"/>
              </w:rPr>
              <w:t xml:space="preserve">  </w:t>
            </w:r>
            <w:r>
              <w:rPr>
                <w:rFonts w:eastAsia="Calibri" w:cs="Calibri" w:ascii="Carlito" w:hAnsi="Carlito"/>
                <w:b/>
                <w:bCs/>
                <w:i w:val="false"/>
                <w:iCs w:val="false"/>
                <w:color w:val="000000"/>
                <w:sz w:val="24"/>
                <w:highlight w:val="white"/>
              </w:rPr>
              <w:t>39</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FIESTA HATCH (KINETIC) 1.0 8V(FLEX) A/G 4P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9BFZF55A1D8362422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40</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COROLLA SEDAN XLI 1.8 16V(FLEX)(N.SERIE) A/G 4P 2009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9BRBB42E295060857</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41</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COROLLA SEDAN XLI 1.8 16V(FLEX)(N.SERIE) A/G 4P 2009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9BRBB42E795064158</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42</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VW 7.110 TB-IC 4X2 DIES. 2P 2005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9BW8C42R75R520573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43</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VW 15.190 4X2(CONSTELLATION) (EURO 5) DIES. 2P 2013</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9536E8238DR325140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44</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NISSAN FRONTIER LE 4X4-AT (C.DUP) 2.3 16V DIES. 4P 2018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3N6BD33B3JK915525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45</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L-200 TRITON HPE 3.2 TB-IC MEC. DIES. 4P 2012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93XJNKB8TCCC50504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46</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L-200 TRITON HPE 3.2 TB-IC MEC. DIES. 4P 2012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93XJNKB8TCCC50478 </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47</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VW13.180 TB DIES. 2P 2006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9BWBE72S76R606682</w:t>
            </w:r>
          </w:p>
        </w:tc>
      </w:tr>
      <w:tr>
        <w:trPr/>
        <w:tc>
          <w:tcPr>
            <w:tcW w:w="1898" w:type="dxa"/>
            <w:vMerge w:val="continue"/>
            <w:tcBorders>
              <w:top w:val="single" w:sz="4" w:space="0" w:color="000000"/>
              <w:left w:val="single" w:sz="4" w:space="0" w:color="000000"/>
              <w:bottom w:val="single" w:sz="4" w:space="0" w:color="000000"/>
            </w:tcBorders>
            <w:shd w:fill="auto" w:val="clear"/>
          </w:tcPr>
          <w:p>
            <w:pPr>
              <w:pStyle w:val="Normal"/>
              <w:widowControl w:val="false"/>
              <w:spacing w:lineRule="auto" w:line="240" w:before="120" w:after="288"/>
              <w:ind w:left="0" w:right="0" w:hanging="0"/>
              <w:jc w:val="both"/>
              <w:rPr>
                <w:rFonts w:ascii="Carlito" w:hAnsi="Carlito" w:eastAsia="Calibri" w:cs="Calibri"/>
                <w:b w:val="false"/>
                <w:b w:val="false"/>
                <w:i w:val="false"/>
                <w:i w:val="false"/>
                <w:iCs w:val="false"/>
                <w:color w:val="FF0000"/>
                <w:spacing w:val="0"/>
                <w:sz w:val="24"/>
                <w:szCs w:val="24"/>
                <w:highlight w:val="white"/>
              </w:rPr>
            </w:pPr>
            <w:r>
              <w:rPr>
                <w:rFonts w:eastAsia="Calibri" w:cs="Calibri" w:ascii="Carlito" w:hAnsi="Carlito"/>
                <w:b w:val="false"/>
                <w:i w:val="false"/>
                <w:iCs w:val="false"/>
                <w:color w:val="FF0000"/>
                <w:spacing w:val="0"/>
                <w:sz w:val="24"/>
                <w:szCs w:val="24"/>
                <w:highlight w:val="white"/>
              </w:rPr>
            </w:r>
          </w:p>
        </w:tc>
        <w:tc>
          <w:tcPr>
            <w:tcW w:w="861"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40" w:before="120" w:after="288"/>
              <w:ind w:left="0" w:right="0" w:hanging="0"/>
              <w:jc w:val="left"/>
              <w:rPr>
                <w:rFonts w:ascii="Carlito" w:hAnsi="Carlito"/>
              </w:rPr>
            </w:pPr>
            <w:r>
              <w:rPr>
                <w:rFonts w:ascii="Carlito" w:hAnsi="Carlito"/>
                <w:b/>
                <w:bCs/>
                <w:i w:val="false"/>
                <w:iCs w:val="false"/>
                <w:color w:val="000000"/>
              </w:rPr>
              <w:t xml:space="preserve">  </w:t>
            </w:r>
            <w:r>
              <w:rPr>
                <w:rFonts w:ascii="Carlito" w:hAnsi="Carlito"/>
                <w:b/>
                <w:bCs/>
                <w:i w:val="false"/>
                <w:iCs w:val="false"/>
                <w:color w:val="000000"/>
              </w:rPr>
              <w:t>48</w:t>
            </w:r>
          </w:p>
        </w:tc>
        <w:tc>
          <w:tcPr>
            <w:tcW w:w="52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 xml:space="preserve">IVECO TECTOR ATTACK 240-E22 6X2 3E (EURO 5) DIES. 2P 2013 </w:t>
            </w:r>
          </w:p>
        </w:tc>
        <w:tc>
          <w:tcPr>
            <w:tcW w:w="244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40" w:before="120" w:after="288"/>
              <w:ind w:left="0" w:right="0" w:hanging="0"/>
              <w:jc w:val="both"/>
              <w:rPr>
                <w:sz w:val="18"/>
                <w:szCs w:val="18"/>
              </w:rPr>
            </w:pPr>
            <w:r>
              <w:rPr>
                <w:rFonts w:eastAsia="Calibri" w:cs="Calibri" w:ascii="Carlito" w:hAnsi="Carlito"/>
                <w:b w:val="false"/>
                <w:i w:val="false"/>
                <w:iCs w:val="false"/>
                <w:color w:val="000000"/>
                <w:spacing w:val="0"/>
                <w:sz w:val="18"/>
                <w:szCs w:val="18"/>
                <w:highlight w:val="white"/>
              </w:rPr>
              <w:t>93ZE2HGH0D8923693</w:t>
            </w:r>
          </w:p>
        </w:tc>
      </w:tr>
    </w:tbl>
    <w:p>
      <w:pPr>
        <w:pStyle w:val="Normal"/>
        <w:widowControl/>
        <w:bidi w:val="0"/>
        <w:spacing w:lineRule="auto" w:line="240"/>
        <w:ind w:left="0" w:right="0" w:firstLine="737"/>
        <w:jc w:val="both"/>
        <w:rPr>
          <w:rFonts w:ascii="Carlito" w:hAnsi="Carlito"/>
          <w:b/>
          <w:b/>
          <w:bCs/>
        </w:rPr>
      </w:pPr>
      <w:r>
        <w:rPr>
          <w:rFonts w:ascii="Carlito" w:hAnsi="Carlito"/>
          <w:b/>
          <w:bCs/>
        </w:rPr>
      </w:r>
    </w:p>
    <w:p>
      <w:pPr>
        <w:pStyle w:val="Normal"/>
        <w:widowControl/>
        <w:bidi w:val="0"/>
        <w:spacing w:lineRule="auto" w:line="240"/>
        <w:ind w:left="0" w:right="0" w:firstLine="567"/>
        <w:jc w:val="both"/>
        <w:rPr>
          <w:rFonts w:ascii="Carlito" w:hAnsi="Carlito"/>
        </w:rPr>
      </w:pPr>
      <w:r>
        <w:rPr>
          <w:rFonts w:ascii="Carlito" w:hAnsi="Carlito"/>
          <w:b/>
          <w:bCs/>
          <w:sz w:val="20"/>
          <w:szCs w:val="20"/>
        </w:rPr>
        <w:t>1.2.</w:t>
        <w:tab/>
      </w:r>
      <w:commentRangeStart w:id="0"/>
      <w:r>
        <w:rPr>
          <w:rFonts w:ascii="Carlito" w:hAnsi="Carlito"/>
          <w:sz w:val="20"/>
          <w:szCs w:val="20"/>
        </w:rPr>
        <w:t>O(s) serviço(s) objeto desta contratação são caracterizados como comum(ns), conforme justificativa constante do Estudo Técnico Preliminar.</w:t>
      </w:r>
    </w:p>
    <w:p>
      <w:pPr>
        <w:pStyle w:val="Normal"/>
        <w:widowControl/>
        <w:bidi w:val="0"/>
        <w:spacing w:lineRule="auto" w:line="240"/>
        <w:ind w:left="0" w:right="0" w:firstLine="567"/>
        <w:jc w:val="both"/>
        <w:rPr>
          <w:rFonts w:ascii="Carlito" w:hAnsi="Carlito"/>
        </w:rPr>
      </w:pPr>
      <w:commentRangeEnd w:id="0"/>
      <w:r>
        <w:commentReference w:id="0"/>
      </w:r>
      <w:r>
        <w:rPr/>
      </w:r>
    </w:p>
    <w:p>
      <w:pPr>
        <w:pStyle w:val="Normal"/>
        <w:widowControl/>
        <w:bidi w:val="0"/>
        <w:spacing w:lineRule="auto" w:line="240"/>
        <w:ind w:left="0" w:right="0" w:firstLine="567"/>
        <w:jc w:val="both"/>
        <w:rPr>
          <w:rFonts w:ascii="Carlito" w:hAnsi="Carlito"/>
        </w:rPr>
      </w:pPr>
      <w:r>
        <w:rPr>
          <w:rFonts w:eastAsia="Arial" w:cs="Arial" w:ascii="Carlito" w:hAnsi="Carlito"/>
          <w:b/>
          <w:bCs/>
          <w:color w:val="000000"/>
          <w:spacing w:val="0"/>
          <w:sz w:val="20"/>
          <w:szCs w:val="20"/>
          <w:shd w:fill="auto" w:val="clear"/>
        </w:rPr>
        <w:t>1.3.</w:t>
        <w:tab/>
      </w:r>
      <w:r>
        <w:rPr>
          <w:rFonts w:eastAsia="Arial" w:cs="Arial" w:ascii="Carlito" w:hAnsi="Carlito"/>
          <w:b w:val="false"/>
          <w:bCs w:val="false"/>
          <w:color w:val="000000"/>
          <w:spacing w:val="0"/>
          <w:sz w:val="20"/>
          <w:szCs w:val="20"/>
          <w:shd w:fill="auto" w:val="clear"/>
        </w:rPr>
        <w:t>O prazo de vigência da contratação é de 12 (doze) meses a partir da data de entrega da nota de empenho, prorrogável por até 10 anos, na forma do artigo 107 da Lei n° 14.133.</w:t>
      </w:r>
    </w:p>
    <w:p>
      <w:pPr>
        <w:pStyle w:val="Normal"/>
        <w:widowControl w:val="false"/>
        <w:tabs>
          <w:tab w:val="clear" w:pos="708"/>
          <w:tab w:val="left" w:pos="203"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hd w:fill="auto" w:val="clear"/>
        </w:rPr>
        <w:t>1.4.</w:t>
      </w:r>
      <w:r>
        <w:rPr>
          <w:rFonts w:eastAsia="Arial" w:cs="Arial" w:ascii="Carlito" w:hAnsi="Carlito"/>
          <w:b/>
          <w:bCs/>
          <w:i w:val="false"/>
          <w:iCs w:val="false"/>
          <w:color w:val="000000"/>
          <w:spacing w:val="0"/>
          <w:sz w:val="20"/>
          <w:szCs w:val="20"/>
          <w:shd w:fill="auto" w:val="clear"/>
        </w:rPr>
        <w:tab/>
      </w:r>
      <w:commentRangeStart w:id="1"/>
      <w:r>
        <w:rPr>
          <w:rFonts w:ascii="Carlito" w:hAnsi="Carlito"/>
          <w:i w:val="false"/>
          <w:iCs w:val="false"/>
          <w:sz w:val="20"/>
          <w:szCs w:val="20"/>
        </w:rPr>
        <w:t>O contrato oferece maior detalhamento das regras que serão aplicadas em relação à vigência da contratação.</w:t>
      </w:r>
      <w:commentRangeEnd w:id="1"/>
      <w:r>
        <w:commentReference w:id="1"/>
      </w:r>
      <w:r>
        <w:rPr>
          <w:rFonts w:ascii="Carlito" w:hAnsi="Carlito"/>
          <w:i w:val="false"/>
          <w:iCs w:val="false"/>
          <w:sz w:val="20"/>
          <w:szCs w:val="20"/>
        </w:rPr>
      </w:r>
    </w:p>
    <w:p>
      <w:pPr>
        <w:pStyle w:val="Nivel01"/>
        <w:tabs>
          <w:tab w:val="left" w:pos="0" w:leader="none"/>
          <w:tab w:val="left" w:pos="567" w:leader="none"/>
        </w:tabs>
        <w:spacing w:lineRule="auto" w:line="240" w:before="120" w:after="288"/>
        <w:ind w:left="0" w:hanging="0"/>
        <w:rPr>
          <w:rFonts w:ascii="Carlito" w:hAnsi="Carlito"/>
        </w:rPr>
      </w:pPr>
      <w:r>
        <w:rPr>
          <w:rFonts w:ascii="Carlito" w:hAnsi="Carlito"/>
          <w:i w:val="false"/>
          <w:iCs w:val="false"/>
          <w:sz w:val="24"/>
          <w:szCs w:val="24"/>
        </w:rPr>
        <w:t>2.</w:t>
        <w:tab/>
        <w:t>FUNDAMENTAÇÃO E DESCRIÇÃO DA NECESSIDADE DA CONTRATAÇÃO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rPr>
        <w:t>2.1.</w:t>
        <w:tab/>
      </w:r>
      <w:commentRangeStart w:id="2"/>
      <w:r>
        <w:rPr>
          <w:rFonts w:ascii="Carlito" w:hAnsi="Carlito"/>
          <w:i w:val="false"/>
          <w:iCs w:val="false"/>
        </w:rPr>
        <w:t>A Fundamentação da Contratação e de seus quantitativos encontra-se pormenorizada em tópico específico dos Estudos Técnicos Preliminares, apêndice deste Termo de Referência.</w:t>
      </w:r>
      <w:commentRangeEnd w:id="2"/>
      <w:r>
        <w:commentReference w:id="2"/>
      </w:r>
      <w:r>
        <w:rPr>
          <w:rFonts w:ascii="Carlito" w:hAnsi="Carlito"/>
          <w:i w:val="false"/>
          <w:iCs w:val="false"/>
        </w:rPr>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rPr>
        <w:t>2.2.</w:t>
        <w:tab/>
      </w:r>
      <w:r>
        <w:rPr>
          <w:rFonts w:ascii="Carlito" w:hAnsi="Carlito"/>
          <w:i w:val="false"/>
          <w:iCs w:val="false"/>
        </w:rPr>
        <w:t xml:space="preserve">O objeto da contratação está previsto no PAR </w:t>
      </w:r>
      <w:r>
        <w:rPr>
          <w:rFonts w:ascii="Carlito" w:hAnsi="Carlito"/>
          <w:i w:val="false"/>
          <w:iCs w:val="false"/>
          <w:color w:val="000000"/>
        </w:rPr>
        <w:t>2023.</w:t>
      </w:r>
    </w:p>
    <w:p>
      <w:pPr>
        <w:pStyle w:val="Nivel01"/>
        <w:keepNext w:val="true"/>
        <w:keepLines/>
        <w:widowControl/>
        <w:numPr>
          <w:ilvl w:val="0"/>
          <w:numId w:val="0"/>
        </w:numPr>
        <w:bidi w:val="0"/>
        <w:spacing w:lineRule="auto" w:line="240" w:before="120" w:after="288"/>
        <w:ind w:left="360" w:right="0" w:hanging="0"/>
        <w:jc w:val="both"/>
        <w:rPr>
          <w:rFonts w:ascii="Carlito" w:hAnsi="Carlito"/>
        </w:rPr>
      </w:pPr>
      <w:r>
        <w:rPr>
          <w:rFonts w:ascii="Carlito" w:hAnsi="Carlito"/>
          <w:i w:val="false"/>
          <w:iCs w:val="false"/>
          <w:sz w:val="24"/>
          <w:szCs w:val="24"/>
        </w:rPr>
        <w:t>3.</w:t>
        <w:tab/>
        <w:t>DESCRIÇÃO DA SOLUÇÃO COMO UM TODO CONSIDERADO O CICLO DE VIDA DO OBJETO</w:t>
      </w:r>
    </w:p>
    <w:p>
      <w:pPr>
        <w:pStyle w:val="Nivel01"/>
        <w:spacing w:lineRule="auto" w:line="240" w:before="120" w:after="288"/>
        <w:ind w:left="0" w:firstLine="567"/>
        <w:jc w:val="both"/>
        <w:rPr>
          <w:rFonts w:ascii="Carlito" w:hAnsi="Carlito"/>
        </w:rPr>
      </w:pPr>
      <w:r>
        <w:rPr>
          <w:rFonts w:eastAsia="Arial" w:cs="Arial" w:ascii="Carlito" w:hAnsi="Carlito"/>
          <w:b/>
          <w:bCs/>
          <w:i w:val="false"/>
          <w:iCs w:val="false"/>
          <w:color w:val="000000"/>
          <w:spacing w:val="0"/>
          <w:sz w:val="20"/>
          <w:shd w:fill="auto" w:val="clear"/>
        </w:rPr>
        <w:t>3.1.</w:t>
        <w:tab/>
      </w:r>
      <w:r>
        <w:rPr>
          <w:rFonts w:eastAsia="Arial" w:cs="Arial" w:ascii="Carlito" w:hAnsi="Carlito"/>
          <w:b w:val="false"/>
          <w:bCs w:val="false"/>
          <w:i w:val="false"/>
          <w:iCs w:val="false"/>
          <w:color w:val="000000"/>
          <w:spacing w:val="0"/>
          <w:sz w:val="20"/>
          <w:shd w:fill="auto" w:val="clear"/>
        </w:rPr>
        <w:t>Abrange a contratação de empresa especializada para prestação de serviços de seguro total dos veículos, conforme condições, quantidades e exigências estabelecidas neste Termo de Referência.</w:t>
      </w:r>
    </w:p>
    <w:p>
      <w:pPr>
        <w:pStyle w:val="Nivel01"/>
        <w:tabs>
          <w:tab w:val="left" w:pos="0" w:leader="none"/>
          <w:tab w:val="left" w:pos="567" w:leader="none"/>
        </w:tabs>
        <w:spacing w:lineRule="auto" w:line="240" w:before="120" w:after="288"/>
        <w:rPr>
          <w:rFonts w:ascii="Carlito" w:hAnsi="Carlito"/>
        </w:rPr>
      </w:pPr>
      <w:r>
        <w:rPr>
          <w:rFonts w:ascii="Carlito" w:hAnsi="Carlito"/>
          <w:i w:val="false"/>
          <w:iCs w:val="false"/>
          <w:sz w:val="24"/>
          <w:szCs w:val="24"/>
        </w:rPr>
        <w:t>4.</w:t>
        <w:tab/>
      </w:r>
      <w:commentRangeStart w:id="3"/>
      <w:r>
        <w:rPr>
          <w:rFonts w:ascii="Carlito" w:hAnsi="Carlito"/>
          <w:i w:val="false"/>
          <w:iCs w:val="false"/>
          <w:sz w:val="24"/>
          <w:szCs w:val="24"/>
        </w:rPr>
        <w:t>REQUISITOS DA CONTRATAÇÃO</w:t>
      </w:r>
    </w:p>
    <w:p>
      <w:pPr>
        <w:pStyle w:val="Normal"/>
        <w:keepNext w:val="true"/>
        <w:keepLines/>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a) COBERTURA</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Cobertura casco 100% tabela FIPE</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Danos Materiais – R$200.000,00 (Duzentos mil reais);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Danos Corporais – R$200.000,00 (Duzentos mil reais);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Danos Morais: - R$10.000,00 (Dez mil reais);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APP Invalidez: R$ 10.000,00 (Dez mil reais);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APP Morte: - R$ 10.000,00 (Dez mil reais);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Assistência 24 horas a todos os veículos segurados, disponível no território nacional, deverá compreender:</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1) a prestação de socorro, reboque ou transporte do veículo segurado até a oficina mais próxima ao local do evento, em casos de falha mecânica ou elétrica.</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2) o reboque ou transporte do veículo segurado sem limites de quilometragem deverá ser prestado de forma gratuita (sem cobrança de franquia) pela seguradora;</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3) o transporte de pessoas ocupantes do veículo, na ocorrência de avaria ou evento coberto, até uma unidade do Com.1ºDN nos Estados do Rio de Janeiro, Minas Gerais e Espírito Santo, mais próxima da ocorrência do evento;</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4) o serviço de troca de pneus quando o veículo estiver impossibilitado de se deslocar devido a problemas no pneu e/ou estepe;</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5) o serviço de chaveiro, quando o veículo não puder ser aberto em virtude da perda ou extravio das chaves, seu esquecimento no interior do veículo, ou quebra na fechadura, na ignição ou tranca de direção. O serviço será prestado mediante o envio de chaveiro ao local do evento;</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6) serviço de proteção a vidros completos (para-brisa, vidros laterais, faróis, lanternas e retrovisores).</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b) Apresentação de Registro válido junto à Superintendência de Seguros Privados – SUSEP</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c) O serviço possui natureza continuada conforme classificação da Portaria GP N. 2047/2018.</w:t>
      </w:r>
    </w:p>
    <w:p>
      <w:pPr>
        <w:pStyle w:val="Normal"/>
        <w:widowControl w:val="false"/>
        <w:tabs>
          <w:tab w:val="clear" w:pos="708"/>
          <w:tab w:val="left" w:pos="203" w:leader="none"/>
          <w:tab w:val="left" w:pos="533" w:leader="none"/>
        </w:tabs>
        <w:spacing w:lineRule="auto" w:line="240" w:before="120" w:after="288"/>
        <w:ind w:left="0" w:right="0" w:hanging="0"/>
        <w:jc w:val="both"/>
        <w:rPr>
          <w:rFonts w:ascii="Carlito" w:hAnsi="Carlito"/>
        </w:rPr>
      </w:pPr>
      <w:r>
        <w:rPr>
          <w:rFonts w:eastAsia="Arial" w:cs="Arial" w:ascii="Carlito" w:hAnsi="Carlito"/>
          <w:color w:val="000000"/>
          <w:spacing w:val="0"/>
          <w:sz w:val="20"/>
          <w:szCs w:val="20"/>
          <w:highlight w:val="white"/>
        </w:rPr>
        <w:t xml:space="preserve">d) A vigência do contrato terá início em </w:t>
      </w:r>
      <w:r>
        <w:rPr>
          <w:rFonts w:eastAsia="Arial" w:cs="Arial" w:ascii="Carlito" w:hAnsi="Carlito"/>
          <w:color w:val="000000"/>
          <w:spacing w:val="0"/>
          <w:sz w:val="20"/>
          <w:szCs w:val="20"/>
        </w:rPr>
        <w:t>02/08/2021.</w:t>
      </w:r>
    </w:p>
    <w:p>
      <w:pPr>
        <w:pStyle w:val="Nivel01"/>
        <w:tabs>
          <w:tab w:val="left" w:pos="0" w:leader="none"/>
          <w:tab w:val="left" w:pos="567" w:leader="none"/>
        </w:tabs>
        <w:spacing w:lineRule="auto" w:line="240" w:before="120" w:after="288"/>
        <w:rPr>
          <w:rFonts w:ascii="Carlito" w:hAnsi="Carlito"/>
        </w:rPr>
      </w:pPr>
      <w:r>
        <w:rPr>
          <w:rFonts w:eastAsia="Arial" w:cs="Arial" w:ascii="Carlito" w:hAnsi="Carlito"/>
          <w:b w:val="false"/>
          <w:bCs w:val="false"/>
          <w:i w:val="false"/>
          <w:iCs w:val="false"/>
          <w:color w:val="000000"/>
          <w:spacing w:val="0"/>
          <w:sz w:val="20"/>
          <w:szCs w:val="20"/>
          <w:highlight w:val="white"/>
        </w:rPr>
        <w:t>e) Não há necessidade de a contratada promover a transição contratual com transferência de conhecimento, tecnologia e técnicas empregadas, pois trata-se de serviço comum em que diversas empresas especializadas atuam no ramo.</w:t>
      </w:r>
      <w:commentRangeEnd w:id="3"/>
      <w:r>
        <w:commentReference w:id="3"/>
      </w:r>
      <w:r>
        <w:rPr>
          <w:rFonts w:eastAsia="Arial" w:cs="Arial" w:ascii="Carlito" w:hAnsi="Carlito"/>
          <w:b w:val="false"/>
          <w:bCs w:val="false"/>
          <w:i w:val="false"/>
          <w:iCs w:val="false"/>
          <w:color w:val="000000"/>
          <w:spacing w:val="0"/>
          <w:sz w:val="20"/>
          <w:szCs w:val="20"/>
          <w:highlight w:val="white"/>
        </w:rPr>
      </w:r>
    </w:p>
    <w:p>
      <w:pPr>
        <w:pStyle w:val="Nivel01"/>
        <w:keepNext w:val="true"/>
        <w:keepLines/>
        <w:widowControl/>
        <w:tabs>
          <w:tab w:val="left" w:pos="0" w:leader="none"/>
          <w:tab w:val="left" w:pos="567" w:leader="none"/>
        </w:tabs>
        <w:bidi w:val="0"/>
        <w:spacing w:lineRule="auto" w:line="240" w:before="120" w:after="288"/>
        <w:ind w:left="0" w:right="0" w:hanging="0"/>
        <w:jc w:val="both"/>
        <w:rPr>
          <w:rFonts w:ascii="Carlito" w:hAnsi="Carlito"/>
        </w:rPr>
      </w:pPr>
      <w:r>
        <w:rPr>
          <w:rFonts w:ascii="Carlito" w:hAnsi="Carlito"/>
          <w:i w:val="false"/>
          <w:iCs w:val="false"/>
          <w:color w:val="000000"/>
          <w:sz w:val="24"/>
          <w:szCs w:val="24"/>
        </w:rPr>
        <w:t>5.</w:t>
        <w:tab/>
      </w:r>
      <w:commentRangeStart w:id="4"/>
      <w:r>
        <w:rPr>
          <w:rFonts w:ascii="Carlito" w:hAnsi="Carlito"/>
          <w:i w:val="false"/>
          <w:iCs w:val="false"/>
          <w:color w:val="000000"/>
          <w:sz w:val="24"/>
          <w:szCs w:val="24"/>
        </w:rPr>
        <w:t>Sustentabilidade</w:t>
      </w:r>
      <w:commentRangeEnd w:id="4"/>
      <w:r>
        <w:commentReference w:id="4"/>
      </w:r>
      <w:r>
        <w:rPr>
          <w:rFonts w:ascii="Carlito" w:hAnsi="Carlito"/>
          <w:i w:val="false"/>
          <w:iCs w:val="false"/>
          <w:color w:val="000000"/>
          <w:sz w:val="24"/>
          <w:szCs w:val="24"/>
        </w:rPr>
      </w:r>
    </w:p>
    <w:p>
      <w:pPr>
        <w:pStyle w:val="Nivel01"/>
        <w:widowControl/>
        <w:tabs>
          <w:tab w:val="left" w:pos="0" w:leader="none"/>
          <w:tab w:val="left" w:pos="567"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hd w:fill="auto" w:val="clear"/>
        </w:rPr>
        <w:t>5.1.</w:t>
        <w:tab/>
      </w:r>
      <w:r>
        <w:rPr>
          <w:rFonts w:eastAsia="Arial" w:cs="Arial" w:ascii="Carlito" w:hAnsi="Carlito"/>
          <w:b w:val="false"/>
          <w:bCs w:val="false"/>
          <w:i w:val="false"/>
          <w:iCs w:val="false"/>
          <w:color w:val="000000"/>
          <w:spacing w:val="0"/>
          <w:sz w:val="20"/>
          <w:shd w:fill="auto" w:val="clear"/>
        </w:rPr>
        <w:t>As oficinas credenciadas pela CONTRATADA para fazer os reparos nos veículos sinistrados obrigar-se-ão, em cumprimento ao disposto no art 5o da IN/SLTI/MPOG no01, de 19 de janeiro de 2010, que dispõe sobre os critérios de sustentabilidade ambiental na aquisição de bens, contratação de serviços ou obras pela Administração Pública Federal Direta, aos seguintes critérios:</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5.1.1.</w:t>
        <w:tab/>
      </w:r>
      <w:r>
        <w:rPr>
          <w:rFonts w:eastAsia="Arial" w:cs="Arial" w:ascii="Carlito" w:hAnsi="Carlito"/>
          <w:i w:val="false"/>
          <w:iCs w:val="false"/>
          <w:color w:val="000000"/>
          <w:spacing w:val="0"/>
          <w:sz w:val="20"/>
          <w:shd w:fill="auto" w:val="clear"/>
        </w:rPr>
        <w:t>Que os bens sejam constituídos, no todo ou em parte, por material reciclado, atóxico, biodegradável, conforme ABNT NBR – 15448-1 e 15448-2;</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5.1.2.</w:t>
        <w:tab/>
      </w:r>
      <w:r>
        <w:rPr>
          <w:rFonts w:eastAsia="Arial" w:cs="Arial" w:ascii="Carlito" w:hAnsi="Carlito"/>
          <w:i w:val="false"/>
          <w:iCs w:val="false"/>
          <w:color w:val="000000"/>
          <w:spacing w:val="0"/>
          <w:sz w:val="20"/>
          <w:shd w:fill="auto" w:val="clear"/>
        </w:rPr>
        <w:t>Que sejam observados os requisitos ambientais para obtenção de certificação do Instituto Nacional de Metrologia, Normalização e Qualidade Industrial – INMETRO como produtos sustentáveis ou de menor impacto ambiental em relação aos seus similares;</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5.1.3.</w:t>
        <w:tab/>
      </w:r>
      <w:r>
        <w:rPr>
          <w:rFonts w:eastAsia="Arial" w:cs="Arial" w:ascii="Carlito" w:hAnsi="Carlito"/>
          <w:i w:val="false"/>
          <w:iCs w:val="false"/>
          <w:color w:val="000000"/>
          <w:spacing w:val="0"/>
          <w:sz w:val="20"/>
          <w:shd w:fill="auto" w:val="clear"/>
        </w:rPr>
        <w:t>Que os bens devam ser, preferencialmente, acondicionados em embalagem individual adequada, com o menor volume possível, que utilize materiais recicláveis, de forma a garantir a máxima proteção durante o transporte e o armazenamento; e</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5.1.4.</w:t>
        <w:tab/>
      </w:r>
      <w:r>
        <w:rPr>
          <w:rFonts w:eastAsia="Arial" w:cs="Arial" w:ascii="Carlito" w:hAnsi="Carlito"/>
          <w:i w:val="false"/>
          <w:iCs w:val="false"/>
          <w:color w:val="000000"/>
          <w:spacing w:val="0"/>
          <w:sz w:val="20"/>
          <w:shd w:fill="auto" w:val="clear"/>
        </w:rPr>
        <w:t>Que os bens não contenham substâncias perigosas em concentração acima da recomendada na diretiva RoHS, tais como mercúrio(Hg), chumbo(Pb), cromo hexavalente(Cr(VI)), cádmio(Cd), bifenil-polibromados(PBBs), éteres difenil-polibromados(PBDEs).</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5.1.5.</w:t>
        <w:tab/>
      </w:r>
      <w:r>
        <w:rPr>
          <w:rFonts w:eastAsia="Arial" w:cs="Arial" w:ascii="Carlito" w:hAnsi="Carlito"/>
          <w:i w:val="false"/>
          <w:iCs w:val="false"/>
          <w:color w:val="000000"/>
          <w:spacing w:val="0"/>
          <w:sz w:val="20"/>
          <w:shd w:fill="auto" w:val="clear"/>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no 8.666, de 1993.</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5.1.6.</w:t>
        <w:tab/>
      </w:r>
      <w:r>
        <w:rPr>
          <w:rFonts w:eastAsia="Arial" w:cs="Arial" w:ascii="Carlito" w:hAnsi="Carlito"/>
          <w:i w:val="false"/>
          <w:iCs w:val="false"/>
          <w:color w:val="000000"/>
          <w:spacing w:val="0"/>
          <w:sz w:val="20"/>
          <w:shd w:fill="auto" w:val="clear"/>
        </w:rPr>
        <w:t>As disposições previstas nesta cláusula não excluem o disposto no Anexo IV (Guia de Fiscalização dos Contratos de Terceirização) da Instrução Normativa SLTI/MPOG no 02, de 2008, aplicável no que for pertinente à contratação.</w:t>
      </w:r>
    </w:p>
    <w:p>
      <w:pPr>
        <w:pStyle w:val="Normal"/>
        <w:widowControl w:val="false"/>
        <w:tabs>
          <w:tab w:val="clear" w:pos="708"/>
          <w:tab w:val="left" w:pos="203" w:leader="none"/>
          <w:tab w:val="left" w:pos="567" w:leader="none"/>
        </w:tabs>
        <w:bidi w:val="0"/>
        <w:spacing w:lineRule="auto" w:line="240" w:before="120" w:after="288"/>
        <w:ind w:left="907" w:right="0" w:hanging="0"/>
        <w:jc w:val="both"/>
        <w:rPr>
          <w:rFonts w:ascii="Carlito" w:hAnsi="Carlito"/>
        </w:rPr>
      </w:pPr>
      <w:r>
        <w:rPr>
          <w:rFonts w:eastAsia="Arial" w:cs="Arial" w:ascii="Carlito" w:hAnsi="Carlito"/>
          <w:b/>
          <w:bCs/>
          <w:i w:val="false"/>
          <w:iCs w:val="false"/>
          <w:color w:val="000000"/>
          <w:spacing w:val="0"/>
          <w:sz w:val="20"/>
          <w:shd w:fill="auto" w:val="clear"/>
        </w:rPr>
        <w:t>5.1.7.</w:t>
        <w:tab/>
      </w:r>
      <w:r>
        <w:rPr>
          <w:rFonts w:eastAsia="Arial" w:cs="Arial" w:ascii="Carlito" w:hAnsi="Carlito"/>
          <w:i w:val="false"/>
          <w:iCs w:val="false"/>
          <w:color w:val="000000"/>
          <w:spacing w:val="0"/>
          <w:sz w:val="20"/>
          <w:shd w:fill="auto" w:val="clear"/>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gentes e prepostos.</w:t>
      </w:r>
    </w:p>
    <w:p>
      <w:pPr>
        <w:pStyle w:val="Normal"/>
        <w:widowControl w:val="false"/>
        <w:numPr>
          <w:ilvl w:val="0"/>
          <w:numId w:val="0"/>
        </w:numPr>
        <w:tabs>
          <w:tab w:val="clear" w:pos="708"/>
          <w:tab w:val="left" w:pos="203" w:leader="none"/>
          <w:tab w:val="left" w:pos="567" w:leader="none"/>
        </w:tabs>
        <w:bidi w:val="0"/>
        <w:spacing w:lineRule="auto" w:line="240" w:before="120" w:after="288"/>
        <w:ind w:left="0" w:right="0" w:hanging="0"/>
        <w:jc w:val="both"/>
        <w:rPr>
          <w:rFonts w:ascii="Carlito" w:hAnsi="Carlito"/>
        </w:rPr>
      </w:pPr>
      <w:r>
        <w:rPr>
          <w:rFonts w:ascii="Carlito" w:hAnsi="Carlito"/>
          <w:b/>
          <w:bCs/>
          <w:i w:val="false"/>
          <w:iCs w:val="false"/>
          <w:color w:val="000000"/>
        </w:rPr>
        <w:t>6.</w:t>
        <w:tab/>
        <w:t>Da exigência de carta de solidariedade</w:t>
      </w:r>
    </w:p>
    <w:p>
      <w:pPr>
        <w:pStyle w:val="Normal"/>
        <w:widowControl w:val="false"/>
        <w:tabs>
          <w:tab w:val="clear" w:pos="708"/>
          <w:tab w:val="left" w:pos="203" w:leader="none"/>
          <w:tab w:val="left" w:pos="567" w:leader="none"/>
        </w:tabs>
        <w:bidi w:val="0"/>
        <w:spacing w:lineRule="auto" w:line="240" w:before="120" w:after="288"/>
        <w:ind w:left="0" w:right="0" w:firstLine="567"/>
        <w:jc w:val="both"/>
        <w:rPr>
          <w:rFonts w:ascii="Carlito" w:hAnsi="Carlito"/>
        </w:rPr>
      </w:pPr>
      <w:r>
        <w:rPr>
          <w:rFonts w:ascii="Carlito" w:hAnsi="Carlito"/>
          <w:b/>
          <w:bCs/>
          <w:i w:val="false"/>
          <w:iCs w:val="false"/>
          <w:color w:val="000000"/>
          <w:sz w:val="20"/>
          <w:szCs w:val="20"/>
        </w:rPr>
        <w:t>6.1.</w:t>
      </w:r>
      <w:r>
        <w:rPr>
          <w:rFonts w:ascii="Carlito" w:hAnsi="Carlito"/>
          <w:b/>
          <w:bCs/>
          <w:i w:val="false"/>
          <w:iCs w:val="false"/>
          <w:color w:val="000000"/>
        </w:rPr>
        <w:tab/>
      </w:r>
      <w:commentRangeStart w:id="5"/>
      <w:r>
        <w:rPr>
          <w:rFonts w:ascii="Carlito" w:hAnsi="Carlito"/>
          <w:i w:val="false"/>
          <w:iCs w:val="false"/>
          <w:color w:val="000000"/>
          <w:sz w:val="20"/>
          <w:szCs w:val="20"/>
        </w:rPr>
        <w:t>Em caso de fornecedor, revendedor ou distribuidor, será exigida carta de solidariedade emitida pelo fabricante, que assegure a execução do contrato.</w:t>
      </w:r>
      <w:commentRangeEnd w:id="5"/>
      <w:r>
        <w:commentReference w:id="5"/>
      </w:r>
      <w:r>
        <w:rPr>
          <w:rFonts w:ascii="Carlito" w:hAnsi="Carlito"/>
          <w:i w:val="false"/>
          <w:iCs w:val="false"/>
          <w:color w:val="000000"/>
          <w:sz w:val="20"/>
          <w:szCs w:val="20"/>
        </w:rPr>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auto"/>
          <w:sz w:val="24"/>
          <w:szCs w:val="24"/>
        </w:rPr>
        <w:t>7.</w:t>
        <w:tab/>
      </w:r>
      <w:commentRangeStart w:id="6"/>
      <w:r>
        <w:rPr>
          <w:rFonts w:ascii="Carlito" w:hAnsi="Carlito"/>
          <w:i w:val="false"/>
          <w:iCs w:val="false"/>
          <w:color w:val="auto"/>
          <w:sz w:val="24"/>
          <w:szCs w:val="24"/>
        </w:rPr>
        <w:t>Subcontratação</w:t>
      </w:r>
      <w:commentRangeEnd w:id="6"/>
      <w:r>
        <w:commentReference w:id="6"/>
      </w:r>
      <w:r>
        <w:rPr>
          <w:rFonts w:ascii="Carlito" w:hAnsi="Carlito"/>
          <w:i w:val="false"/>
          <w:iCs w:val="false"/>
          <w:color w:val="auto"/>
          <w:sz w:val="24"/>
          <w:szCs w:val="24"/>
        </w:rPr>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7.1.</w:t>
        <w:tab/>
      </w:r>
      <w:r>
        <w:rPr>
          <w:rFonts w:ascii="Carlito" w:hAnsi="Carlito"/>
          <w:i w:val="false"/>
          <w:iCs w:val="false"/>
          <w:color w:val="000000"/>
        </w:rPr>
        <w:t>Não será admitida a subcontratação do objeto contratual.</w:t>
      </w:r>
      <w:r>
        <w:rPr/>
        <w:commentReference w:id="7"/>
      </w:r>
    </w:p>
    <w:p>
      <w:pPr>
        <w:pStyle w:val="Nvel1SemNum"/>
        <w:spacing w:lineRule="auto" w:line="240" w:before="120" w:after="288"/>
        <w:ind w:left="357" w:hanging="0"/>
        <w:rPr>
          <w:rFonts w:ascii="Carlito" w:hAnsi="Carlito"/>
        </w:rPr>
      </w:pPr>
      <w:r>
        <w:rPr>
          <w:rFonts w:ascii="Carlito" w:hAnsi="Carlito"/>
          <w:i w:val="false"/>
          <w:iCs w:val="false"/>
          <w:color w:val="000000"/>
          <w:sz w:val="24"/>
          <w:szCs w:val="24"/>
        </w:rPr>
        <w:t>8.</w:t>
        <w:tab/>
        <w:t>Garantia da contratação</w:t>
      </w:r>
    </w:p>
    <w:p>
      <w:pPr>
        <w:pStyle w:val="Nvel2Red"/>
        <w:widowControl/>
        <w:bidi w:val="0"/>
        <w:spacing w:lineRule="auto" w:line="240" w:before="120" w:after="288"/>
        <w:ind w:left="0" w:right="0" w:firstLine="567"/>
        <w:jc w:val="both"/>
        <w:rPr/>
      </w:pPr>
      <w:r>
        <w:rPr>
          <w:rFonts w:ascii="Carlito" w:hAnsi="Carlito"/>
          <w:b/>
          <w:bCs/>
          <w:i w:val="false"/>
          <w:iCs w:val="false"/>
          <w:color w:val="000000"/>
        </w:rPr>
        <w:t>8.1.</w:t>
      </w:r>
      <w:r>
        <w:rPr>
          <w:rFonts w:ascii="Carlito" w:hAnsi="Carlito"/>
          <w:i w:val="false"/>
          <w:iCs w:val="false"/>
          <w:color w:val="000000"/>
        </w:rPr>
        <w:tab/>
        <w:t xml:space="preserve">Não haverá exigência da garantia da contratação dos </w:t>
      </w:r>
      <w:r>
        <w:fldChar w:fldCharType="begin"/>
      </w:r>
      <w:r>
        <w:rPr>
          <w:rStyle w:val="LinkdaInternet"/>
          <w:i w:val="false"/>
          <w:iCs w:val="false"/>
          <w:rFonts w:ascii="Carlito" w:hAnsi="Carlito"/>
        </w:rPr>
        <w:instrText> HYPERLINK "http://www.planalto.gov.br/ccivil_03/_ato2019-2022/2021/lei/L14133.htm" \l "art96"</w:instrText>
      </w:r>
      <w:r>
        <w:rPr>
          <w:rStyle w:val="LinkdaInternet"/>
          <w:i w:val="false"/>
          <w:iCs w:val="false"/>
          <w:rFonts w:ascii="Carlito" w:hAnsi="Carlito"/>
        </w:rPr>
        <w:fldChar w:fldCharType="separate"/>
      </w:r>
      <w:r>
        <w:rPr>
          <w:rStyle w:val="LinkdaInternet"/>
          <w:rFonts w:ascii="Carlito" w:hAnsi="Carlito"/>
          <w:i w:val="false"/>
          <w:iCs w:val="false"/>
          <w:color w:val="000000"/>
        </w:rPr>
        <w:t>artigos 96 e seguintes da Lei nº 14.133, de 2021</w:t>
      </w:r>
      <w:r>
        <w:rPr>
          <w:rStyle w:val="LinkdaInternet"/>
          <w:i w:val="false"/>
          <w:iCs w:val="false"/>
          <w:rFonts w:ascii="Carlito" w:hAnsi="Carlito"/>
        </w:rPr>
        <w:fldChar w:fldCharType="end"/>
      </w:r>
      <w:r>
        <w:rPr>
          <w:rStyle w:val="LinkdaInternet"/>
          <w:rFonts w:ascii="Carlito" w:hAnsi="Carlito"/>
          <w:i w:val="false"/>
          <w:iCs w:val="false"/>
          <w:color w:val="000000"/>
        </w:rPr>
        <w:t>.</w:t>
      </w:r>
      <w:r>
        <w:rPr/>
        <w:commentReference w:id="8"/>
      </w:r>
    </w:p>
    <w:p>
      <w:pPr>
        <w:pStyle w:val="Nvel1SemNum"/>
        <w:spacing w:lineRule="auto" w:line="240" w:before="120" w:after="288"/>
        <w:ind w:left="0" w:hanging="0"/>
        <w:rPr>
          <w:rFonts w:ascii="Carlito" w:hAnsi="Carlito"/>
        </w:rPr>
      </w:pPr>
      <w:r>
        <w:rPr>
          <w:rFonts w:ascii="Carlito" w:hAnsi="Carlito"/>
          <w:i w:val="false"/>
          <w:iCs w:val="false"/>
          <w:color w:val="auto"/>
          <w:sz w:val="24"/>
          <w:szCs w:val="24"/>
        </w:rPr>
        <w:t>9.</w:t>
        <w:tab/>
        <w:t>Vi</w:t>
      </w:r>
      <w:r>
        <w:rPr>
          <w:rFonts w:ascii="Carlito" w:hAnsi="Carlito"/>
          <w:i w:val="false"/>
          <w:iCs w:val="false"/>
          <w:color w:val="000000"/>
          <w:sz w:val="24"/>
          <w:szCs w:val="24"/>
        </w:rPr>
        <w:t>storia</w:t>
      </w:r>
    </w:p>
    <w:p>
      <w:pPr>
        <w:pStyle w:val="Normal"/>
        <w:keepNext w:val="true"/>
        <w:keepLines/>
        <w:widowControl w:val="false"/>
        <w:tabs>
          <w:tab w:val="clear" w:pos="708"/>
          <w:tab w:val="left" w:pos="225" w:leader="none"/>
          <w:tab w:val="left" w:pos="567"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9.1.</w:t>
      </w:r>
      <w:r>
        <w:rPr>
          <w:rFonts w:eastAsia="Arial" w:cs="Arial" w:ascii="Carlito" w:hAnsi="Carlito"/>
          <w:i w:val="false"/>
          <w:iCs w:val="false"/>
          <w:color w:val="000000"/>
          <w:spacing w:val="0"/>
          <w:sz w:val="24"/>
          <w:szCs w:val="24"/>
        </w:rPr>
        <w:tab/>
      </w:r>
      <w:r>
        <w:rPr>
          <w:rFonts w:eastAsia="Arial" w:cs="Arial" w:ascii="Carlito" w:hAnsi="Carlito"/>
          <w:i w:val="false"/>
          <w:iCs w:val="false"/>
          <w:color w:val="000000"/>
          <w:spacing w:val="0"/>
          <w:sz w:val="20"/>
          <w:szCs w:val="20"/>
        </w:rPr>
        <w:t>Para o correto dimensionamento e elaboração de sua proposta, o licitante PODERÁ realizar vistoria nos veículos a serem segurados nas instalações da Divisão de Transportes do Com1°DN, acompanhado por servidor designado para esse fim, de segunda à sexta-feira, das 09:00 horas às 15:00 horas, devendo o agendamento ser efetuado previamente pelos seguintes telefones:</w:t>
      </w:r>
    </w:p>
    <w:p>
      <w:pPr>
        <w:pStyle w:val="Normal"/>
        <w:widowControl w:val="false"/>
        <w:numPr>
          <w:ilvl w:val="0"/>
          <w:numId w:val="0"/>
        </w:numPr>
        <w:tabs>
          <w:tab w:val="clear" w:pos="708"/>
          <w:tab w:val="left" w:pos="203" w:leader="none"/>
          <w:tab w:val="left" w:pos="567" w:leader="none"/>
        </w:tabs>
        <w:spacing w:lineRule="auto" w:line="240" w:before="120" w:after="288"/>
        <w:ind w:left="360" w:hanging="0"/>
        <w:jc w:val="both"/>
        <w:rPr>
          <w:rFonts w:ascii="Carlito" w:hAnsi="Carlito"/>
        </w:rPr>
      </w:pPr>
      <w:r>
        <w:rPr>
          <w:rFonts w:eastAsia="Arial" w:cs="Arial" w:ascii="Carlito" w:hAnsi="Carlito"/>
          <w:i w:val="false"/>
          <w:iCs w:val="false"/>
          <w:color w:val="000000"/>
          <w:spacing w:val="0"/>
          <w:sz w:val="20"/>
          <w:szCs w:val="20"/>
        </w:rPr>
        <w:t xml:space="preserve">Com.1ºDN </w:t>
      </w:r>
    </w:p>
    <w:p>
      <w:pPr>
        <w:pStyle w:val="Normal"/>
        <w:widowControl w:val="false"/>
        <w:numPr>
          <w:ilvl w:val="0"/>
          <w:numId w:val="0"/>
        </w:numPr>
        <w:tabs>
          <w:tab w:val="clear" w:pos="708"/>
          <w:tab w:val="left" w:pos="203" w:leader="none"/>
          <w:tab w:val="left" w:pos="567" w:leader="none"/>
        </w:tabs>
        <w:spacing w:lineRule="auto" w:line="240" w:before="120" w:after="288"/>
        <w:ind w:left="360" w:hanging="0"/>
        <w:jc w:val="both"/>
        <w:rPr>
          <w:rFonts w:ascii="Carlito" w:hAnsi="Carlito"/>
        </w:rPr>
      </w:pPr>
      <w:r>
        <w:rPr>
          <w:rFonts w:eastAsia="Arial" w:cs="Arial" w:ascii="Carlito" w:hAnsi="Carlito"/>
          <w:i w:val="false"/>
          <w:iCs w:val="false"/>
          <w:color w:val="000000"/>
          <w:spacing w:val="0"/>
          <w:sz w:val="20"/>
          <w:szCs w:val="20"/>
        </w:rPr>
        <w:t xml:space="preserve">Contato: (021) 2104-6145 </w:t>
      </w:r>
    </w:p>
    <w:p>
      <w:pPr>
        <w:pStyle w:val="Normal"/>
        <w:widowControl w:val="false"/>
        <w:numPr>
          <w:ilvl w:val="0"/>
          <w:numId w:val="0"/>
        </w:numPr>
        <w:tabs>
          <w:tab w:val="clear" w:pos="708"/>
          <w:tab w:val="left" w:pos="203" w:leader="none"/>
          <w:tab w:val="left" w:pos="609" w:leader="none"/>
        </w:tabs>
        <w:spacing w:lineRule="auto" w:line="240" w:before="63" w:after="231"/>
        <w:ind w:left="360" w:hanging="0"/>
        <w:jc w:val="both"/>
        <w:rPr>
          <w:rFonts w:ascii="Carlito" w:hAnsi="Carlito"/>
        </w:rPr>
      </w:pPr>
      <w:r>
        <w:rPr>
          <w:rFonts w:eastAsia="Arial" w:cs="Arial" w:ascii="Carlito" w:hAnsi="Carlito"/>
          <w:i w:val="false"/>
          <w:iCs w:val="false"/>
          <w:color w:val="000000"/>
          <w:spacing w:val="0"/>
          <w:sz w:val="20"/>
          <w:szCs w:val="20"/>
        </w:rPr>
        <w:t>Suboficial Tanardo – EMAIL: tanardo@marinha.mil.br</w:t>
      </w:r>
    </w:p>
    <w:p>
      <w:pPr>
        <w:pStyle w:val="Normal"/>
        <w:widowControl w:val="false"/>
        <w:numPr>
          <w:ilvl w:val="0"/>
          <w:numId w:val="0"/>
        </w:numPr>
        <w:tabs>
          <w:tab w:val="clear" w:pos="708"/>
          <w:tab w:val="left" w:pos="203" w:leader="none"/>
          <w:tab w:val="left" w:pos="609" w:leader="none"/>
        </w:tabs>
        <w:spacing w:lineRule="auto" w:line="240" w:before="63" w:after="231"/>
        <w:ind w:left="360" w:hanging="0"/>
        <w:jc w:val="both"/>
        <w:rPr>
          <w:rFonts w:ascii="Carlito" w:hAnsi="Carlito"/>
        </w:rPr>
      </w:pPr>
      <w:r>
        <w:rPr>
          <w:rFonts w:eastAsia="Arial" w:cs="Arial" w:ascii="Carlito" w:hAnsi="Carlito"/>
          <w:i w:val="false"/>
          <w:iCs w:val="false"/>
          <w:color w:val="000000"/>
          <w:spacing w:val="0"/>
          <w:sz w:val="20"/>
          <w:szCs w:val="20"/>
        </w:rPr>
        <w:t>Suboficial Marcos Alves– EMAIL: marcosalves@marinha.mil.br</w:t>
      </w:r>
    </w:p>
    <w:p>
      <w:pPr>
        <w:pStyle w:val="Normal"/>
        <w:keepNext w:val="true"/>
        <w:keepLines/>
        <w:widowControl w:val="false"/>
        <w:tabs>
          <w:tab w:val="clear" w:pos="708"/>
          <w:tab w:val="left" w:pos="203" w:leader="none"/>
          <w:tab w:val="left" w:pos="567"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9.2.</w:t>
        <w:tab/>
      </w:r>
      <w:r>
        <w:rPr>
          <w:rFonts w:eastAsia="Arial" w:cs="Arial" w:ascii="Carlito" w:hAnsi="Carlito"/>
          <w:i w:val="false"/>
          <w:iCs w:val="false"/>
          <w:color w:val="000000"/>
          <w:spacing w:val="0"/>
          <w:sz w:val="20"/>
          <w:szCs w:val="20"/>
        </w:rPr>
        <w:t>O prazo para vistoria iniciar-se-á no dia útil seguinte ao da publicação do Edital, estendendo-se até o dia útil anterior à data prevista para a abertura da sessão pública.</w:t>
      </w:r>
    </w:p>
    <w:p>
      <w:pPr>
        <w:pStyle w:val="Normal"/>
        <w:widowControl w:val="false"/>
        <w:tabs>
          <w:tab w:val="clear" w:pos="708"/>
          <w:tab w:val="left" w:pos="203"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9.3.</w:t>
      </w:r>
      <w:r>
        <w:rPr>
          <w:rFonts w:eastAsia="Arial" w:cs="Arial" w:ascii="Carlito" w:hAnsi="Carlito"/>
          <w:b/>
          <w:bCs/>
          <w:i w:val="false"/>
          <w:iCs w:val="false"/>
          <w:color w:val="000000"/>
          <w:spacing w:val="0"/>
          <w:sz w:val="24"/>
          <w:szCs w:val="24"/>
        </w:rPr>
        <w:tab/>
      </w:r>
      <w:r>
        <w:rPr>
          <w:rFonts w:eastAsia="Arial" w:cs="Arial" w:ascii="Carlito" w:hAnsi="Carlito"/>
          <w:i w:val="false"/>
          <w:iCs w:val="false"/>
          <w:color w:val="000000"/>
          <w:spacing w:val="0"/>
          <w:sz w:val="20"/>
          <w:szCs w:val="20"/>
        </w:rPr>
        <w:t>A vistoria, facultativa, tem o objetivo de dar às empresas licitantes o pleno conhecimento das dificuldades inerentes à prestação dos serviços, utilizando-se da ocasião para sanar possíveis dúvidas que afetarão a formulação das propostas de preços.</w:t>
      </w:r>
    </w:p>
    <w:p>
      <w:pPr>
        <w:pStyle w:val="Normal"/>
        <w:widowControl w:val="false"/>
        <w:tabs>
          <w:tab w:val="clear" w:pos="708"/>
          <w:tab w:val="left" w:pos="609"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9.4.</w:t>
      </w:r>
      <w:r>
        <w:rPr>
          <w:rFonts w:eastAsia="Arial" w:cs="Arial" w:ascii="Carlito" w:hAnsi="Carlito"/>
          <w:i w:val="false"/>
          <w:iCs w:val="false"/>
          <w:color w:val="000000"/>
          <w:spacing w:val="0"/>
          <w:sz w:val="20"/>
          <w:szCs w:val="20"/>
        </w:rPr>
        <w:tab/>
        <w:t>Para a vistoria o licitante, ou o seu representante legal, deverá estar devidamente identificado, apresentando documento de identidade civil e documento expedido pela empresa comprovando sua habilitação para a realização da vistoria.</w:t>
      </w:r>
    </w:p>
    <w:p>
      <w:pPr>
        <w:pStyle w:val="Normal"/>
        <w:widowControl w:val="false"/>
        <w:tabs>
          <w:tab w:val="clear" w:pos="708"/>
          <w:tab w:val="left" w:pos="203"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9.5.</w:t>
      </w:r>
      <w:r>
        <w:rPr>
          <w:rFonts w:eastAsia="Arial" w:cs="Arial" w:ascii="Carlito" w:hAnsi="Carlito"/>
          <w:i w:val="false"/>
          <w:iCs w:val="false"/>
          <w:color w:val="000000"/>
          <w:spacing w:val="0"/>
          <w:sz w:val="20"/>
          <w:szCs w:val="20"/>
        </w:rPr>
        <w:tab/>
        <w:t>A não realização da vistoria, por ser facultativa, não poderá embasar posteriores alegações de desconhecimento das viaturas, dúvidas ou esquecimentos de quaisquer detalhes, devendo a licitante vencedora assumir os ônus dos serviços decorrentes.</w:t>
      </w:r>
    </w:p>
    <w:p>
      <w:pPr>
        <w:pStyle w:val="Normal"/>
        <w:widowControl w:val="false"/>
        <w:tabs>
          <w:tab w:val="clear" w:pos="708"/>
          <w:tab w:val="left" w:pos="203" w:leader="none"/>
        </w:tabs>
        <w:bidi w:val="0"/>
        <w:spacing w:lineRule="auto" w:line="240" w:before="120" w:after="288"/>
        <w:ind w:left="0" w:right="0" w:firstLine="567"/>
        <w:jc w:val="both"/>
        <w:rPr>
          <w:rFonts w:ascii="Carlito" w:hAnsi="Carlito"/>
        </w:rPr>
      </w:pPr>
      <w:r>
        <w:rPr>
          <w:rFonts w:eastAsia="Arial" w:cs="Arial" w:ascii="Carlito" w:hAnsi="Carlito"/>
          <w:b/>
          <w:bCs/>
          <w:i w:val="false"/>
          <w:iCs w:val="false"/>
          <w:color w:val="000000"/>
          <w:spacing w:val="0"/>
          <w:sz w:val="20"/>
          <w:szCs w:val="20"/>
        </w:rPr>
        <w:t>9.6.</w:t>
      </w:r>
      <w:r>
        <w:rPr>
          <w:rFonts w:eastAsia="Arial" w:cs="Arial" w:ascii="Carlito" w:hAnsi="Carlito"/>
          <w:i w:val="false"/>
          <w:iCs w:val="false"/>
          <w:color w:val="000000"/>
          <w:spacing w:val="0"/>
          <w:sz w:val="24"/>
          <w:szCs w:val="24"/>
        </w:rPr>
        <w:tab/>
      </w:r>
      <w:r>
        <w:rPr>
          <w:rFonts w:eastAsia="Arial" w:cs="Arial" w:ascii="Carlito" w:hAnsi="Carlito"/>
          <w:i w:val="false"/>
          <w:iCs w:val="false"/>
          <w:color w:val="000000"/>
          <w:spacing w:val="0"/>
          <w:sz w:val="20"/>
          <w:szCs w:val="20"/>
        </w:rPr>
        <w:t>A licitante deverá declarar que tomou conhecimento de todas as informações e das condições das viaturas para o cumprimento das obrigações objeto da licitação.</w:t>
      </w:r>
    </w:p>
    <w:p>
      <w:pPr>
        <w:pStyle w:val="Nivel01"/>
        <w:keepNext w:val="true"/>
        <w:keepLines/>
        <w:widowControl/>
        <w:bidi w:val="0"/>
        <w:spacing w:lineRule="auto" w:line="240" w:before="120" w:after="288"/>
        <w:ind w:left="0" w:right="0" w:hanging="0"/>
        <w:jc w:val="both"/>
        <w:rPr>
          <w:rFonts w:ascii="Carlito" w:hAnsi="Carlito"/>
        </w:rPr>
      </w:pPr>
      <w:r>
        <w:rPr>
          <w:rFonts w:ascii="Carlito" w:hAnsi="Carlito"/>
          <w:i w:val="false"/>
          <w:iCs w:val="false"/>
          <w:sz w:val="24"/>
          <w:szCs w:val="24"/>
        </w:rPr>
        <w:t>10.</w:t>
        <w:tab/>
      </w:r>
      <w:commentRangeStart w:id="9"/>
      <w:r>
        <w:rPr>
          <w:rFonts w:ascii="Carlito" w:hAnsi="Carlito"/>
          <w:i w:val="false"/>
          <w:iCs w:val="false"/>
          <w:sz w:val="24"/>
          <w:szCs w:val="24"/>
        </w:rPr>
        <w:t>MODELO DE EXECUÇÃO DO OBJETO</w:t>
      </w:r>
      <w:commentRangeEnd w:id="9"/>
      <w:r>
        <w:commentReference w:id="9"/>
      </w:r>
      <w:r>
        <w:rPr>
          <w:rFonts w:ascii="Carlito" w:hAnsi="Carlito"/>
          <w:i w:val="false"/>
          <w:iCs w:val="false"/>
          <w:sz w:val="24"/>
          <w:szCs w:val="24"/>
        </w:rPr>
      </w:r>
    </w:p>
    <w:p>
      <w:pPr>
        <w:pStyle w:val="Normal"/>
        <w:widowControl/>
        <w:bidi w:val="0"/>
        <w:spacing w:lineRule="auto" w:line="240"/>
        <w:ind w:left="0" w:right="0" w:firstLine="567"/>
        <w:jc w:val="both"/>
        <w:rPr>
          <w:rFonts w:ascii="Carlito" w:hAnsi="Carlito"/>
        </w:rPr>
      </w:pPr>
      <w:r>
        <w:rPr>
          <w:rFonts w:ascii="Carlito" w:hAnsi="Carlito"/>
          <w:b/>
          <w:bCs/>
          <w:color w:val="000000"/>
          <w:sz w:val="20"/>
          <w:szCs w:val="20"/>
        </w:rPr>
        <w:t>10.1</w:t>
        <w:tab/>
      </w:r>
      <w:commentRangeStart w:id="10"/>
      <w:r>
        <w:rPr>
          <w:rFonts w:ascii="Carlito" w:hAnsi="Carlito"/>
          <w:color w:val="000000"/>
          <w:sz w:val="20"/>
          <w:szCs w:val="20"/>
        </w:rPr>
        <w:t>A execução do objeto seguirá a seguinte dinâmica:</w:t>
      </w:r>
    </w:p>
    <w:p>
      <w:pPr>
        <w:pStyle w:val="Normal"/>
        <w:widowControl/>
        <w:bidi w:val="0"/>
        <w:spacing w:lineRule="auto" w:line="240"/>
        <w:ind w:left="0" w:right="0" w:firstLine="567"/>
        <w:jc w:val="both"/>
        <w:rPr>
          <w:rFonts w:ascii="Carlito" w:hAnsi="Carlito"/>
          <w:color w:val="000000"/>
        </w:rPr>
      </w:pPr>
      <w:r>
        <w:rPr>
          <w:rFonts w:ascii="Carlito" w:hAnsi="Carlito"/>
          <w:color w:val="00000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10.1.1.</w:t>
      </w:r>
      <w:r>
        <w:rPr>
          <w:rFonts w:ascii="Carlito" w:hAnsi="Carlito"/>
          <w:color w:val="000000"/>
        </w:rPr>
        <w:tab/>
      </w:r>
      <w:r>
        <w:rPr>
          <w:rFonts w:ascii="Carlito" w:hAnsi="Carlito"/>
          <w:color w:val="000000"/>
          <w:sz w:val="20"/>
          <w:szCs w:val="20"/>
        </w:rPr>
        <w:t>A apólice deverá ser disponibilizada para a contratante, em meios eletrônicos e com assinatura eletrônica válida, no prazo máximo de 15 (quinze) dias, a contar do recebimento pela contratada da nota de empenho.</w:t>
      </w:r>
    </w:p>
    <w:p>
      <w:pPr>
        <w:pStyle w:val="Normal"/>
        <w:widowControl/>
        <w:bidi w:val="0"/>
        <w:spacing w:lineRule="auto" w:line="240"/>
        <w:ind w:left="850" w:right="0" w:hanging="0"/>
        <w:jc w:val="both"/>
        <w:rPr>
          <w:rFonts w:ascii="Carlito" w:hAnsi="Carlito"/>
          <w:color w:val="000000"/>
          <w:sz w:val="20"/>
          <w:szCs w:val="20"/>
        </w:rPr>
      </w:pPr>
      <w:r>
        <w:rPr>
          <w:rFonts w:ascii="Carlito" w:hAnsi="Carlito"/>
          <w:color w:val="000000"/>
          <w:sz w:val="20"/>
          <w:szCs w:val="2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10.1.2.</w:t>
      </w:r>
      <w:r>
        <w:rPr>
          <w:rFonts w:ascii="Carlito" w:hAnsi="Carlito"/>
          <w:b/>
          <w:bCs/>
          <w:color w:val="000000"/>
        </w:rPr>
        <w:tab/>
      </w:r>
      <w:r>
        <w:rPr>
          <w:rFonts w:ascii="Carlito" w:hAnsi="Carlito"/>
          <w:color w:val="000000"/>
          <w:sz w:val="20"/>
          <w:szCs w:val="20"/>
        </w:rPr>
        <w:t>Caso a referida apólice seja emitida antes da assinatura do Contrato, a</w:t>
      </w:r>
    </w:p>
    <w:p>
      <w:pPr>
        <w:pStyle w:val="Normal"/>
        <w:widowControl/>
        <w:bidi w:val="0"/>
        <w:spacing w:lineRule="auto" w:line="240"/>
        <w:ind w:left="850" w:right="0" w:hanging="0"/>
        <w:jc w:val="both"/>
        <w:rPr>
          <w:rFonts w:ascii="Carlito" w:hAnsi="Carlito"/>
        </w:rPr>
      </w:pPr>
      <w:r>
        <w:rPr>
          <w:rFonts w:ascii="Carlito" w:hAnsi="Carlito"/>
          <w:sz w:val="20"/>
          <w:szCs w:val="20"/>
        </w:rPr>
        <w:t>Contratada será obrigada estender sua validade até a data final da vigência</w:t>
      </w:r>
    </w:p>
    <w:p>
      <w:pPr>
        <w:pStyle w:val="Normal"/>
        <w:widowControl/>
        <w:bidi w:val="0"/>
        <w:spacing w:lineRule="auto" w:line="240"/>
        <w:ind w:left="850" w:right="0" w:hanging="0"/>
        <w:jc w:val="both"/>
        <w:rPr>
          <w:rFonts w:ascii="Carlito" w:hAnsi="Carlito"/>
        </w:rPr>
      </w:pPr>
      <w:r>
        <w:rPr>
          <w:rFonts w:ascii="Carlito" w:hAnsi="Carlito"/>
          <w:sz w:val="20"/>
          <w:szCs w:val="20"/>
        </w:rPr>
        <w:t>estabelecida em Contrato.</w:t>
      </w:r>
    </w:p>
    <w:p>
      <w:pPr>
        <w:pStyle w:val="Normal"/>
        <w:widowControl/>
        <w:bidi w:val="0"/>
        <w:spacing w:lineRule="auto" w:line="240"/>
        <w:ind w:left="850" w:right="0" w:hanging="0"/>
        <w:jc w:val="both"/>
        <w:rPr>
          <w:rFonts w:ascii="Carlito" w:hAnsi="Carlito"/>
          <w:sz w:val="20"/>
          <w:szCs w:val="20"/>
        </w:rPr>
      </w:pPr>
      <w:r>
        <w:rPr>
          <w:rFonts w:ascii="Carlito" w:hAnsi="Carlito"/>
          <w:sz w:val="20"/>
          <w:szCs w:val="2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10.1.3.</w:t>
        <w:tab/>
      </w:r>
      <w:r>
        <w:rPr>
          <w:rFonts w:ascii="Carlito" w:hAnsi="Carlito"/>
          <w:color w:val="000000"/>
          <w:sz w:val="20"/>
          <w:szCs w:val="20"/>
        </w:rPr>
        <w:t>A seguradora deverá fornecer todo o suporte necessário e suficiente para a dinamização, atendimento e concretização dos vários feitos e etapas do seguro.</w:t>
      </w:r>
    </w:p>
    <w:p>
      <w:pPr>
        <w:pStyle w:val="Normal"/>
        <w:widowControl/>
        <w:bidi w:val="0"/>
        <w:spacing w:lineRule="auto" w:line="240"/>
        <w:ind w:left="850" w:right="0" w:hanging="0"/>
        <w:jc w:val="both"/>
        <w:rPr>
          <w:rFonts w:ascii="Carlito" w:hAnsi="Carlito"/>
          <w:color w:val="000000"/>
        </w:rPr>
      </w:pPr>
      <w:r>
        <w:rPr>
          <w:rFonts w:ascii="Carlito" w:hAnsi="Carlito"/>
          <w:color w:val="00000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10.1.4.</w:t>
        <w:tab/>
      </w:r>
      <w:r>
        <w:rPr>
          <w:rFonts w:ascii="Carlito" w:hAnsi="Carlito"/>
          <w:color w:val="000000"/>
          <w:sz w:val="20"/>
          <w:szCs w:val="20"/>
        </w:rPr>
        <w:t>Assistências 24 horas com reboque ou transporte do veículo segurado, em caso de acidente, pane mecânica ou elétrica, no local onde o veículo se encontrar.</w:t>
      </w:r>
    </w:p>
    <w:p>
      <w:pPr>
        <w:pStyle w:val="Normal"/>
        <w:widowControl/>
        <w:bidi w:val="0"/>
        <w:spacing w:lineRule="auto" w:line="240"/>
        <w:ind w:left="850" w:right="0" w:hanging="0"/>
        <w:jc w:val="both"/>
        <w:rPr>
          <w:rFonts w:ascii="Carlito" w:hAnsi="Carlito"/>
          <w:color w:val="000000"/>
        </w:rPr>
      </w:pPr>
      <w:r>
        <w:rPr>
          <w:rFonts w:ascii="Carlito" w:hAnsi="Carlito"/>
          <w:color w:val="00000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10.1.5.</w:t>
        <w:tab/>
      </w:r>
      <w:r>
        <w:rPr>
          <w:rFonts w:ascii="Carlito" w:hAnsi="Carlito"/>
          <w:color w:val="000000"/>
          <w:sz w:val="20"/>
          <w:szCs w:val="20"/>
        </w:rPr>
        <w:t>A Seguradora vencedora da licitação deverá indicar, na forma do disposto no art. 118 da Lei 14.133, de 2021, um preposto para representá-la na execução do contrato e para atuar como interface entre ela e o Fiscal ou representante do DNIT.</w:t>
      </w:r>
    </w:p>
    <w:p>
      <w:pPr>
        <w:pStyle w:val="Normal"/>
        <w:widowControl/>
        <w:bidi w:val="0"/>
        <w:spacing w:lineRule="auto" w:line="240"/>
        <w:ind w:left="850" w:right="0" w:hanging="0"/>
        <w:jc w:val="both"/>
        <w:rPr>
          <w:rFonts w:ascii="Carlito" w:hAnsi="Carlito"/>
          <w:color w:val="000000"/>
        </w:rPr>
      </w:pPr>
      <w:r>
        <w:rPr>
          <w:rFonts w:ascii="Carlito" w:hAnsi="Carlito"/>
          <w:color w:val="00000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10.1.6.</w:t>
        <w:tab/>
      </w:r>
      <w:r>
        <w:rPr>
          <w:rFonts w:ascii="Carlito" w:hAnsi="Carlito"/>
          <w:color w:val="000000"/>
          <w:sz w:val="20"/>
          <w:szCs w:val="20"/>
        </w:rPr>
        <w:t>Possuir Central de Atendimento com funcionamento de 24h para atendimento imediato em casos de sinistro, possibilitando atendimento ao usuário e todas as providências necessárias à prestação dos serviços ora contratado, informando os números de telefone para contato.</w:t>
      </w:r>
    </w:p>
    <w:p>
      <w:pPr>
        <w:pStyle w:val="Normal"/>
        <w:widowControl/>
        <w:bidi w:val="0"/>
        <w:spacing w:lineRule="auto" w:line="240"/>
        <w:ind w:left="850" w:right="0" w:hanging="0"/>
        <w:jc w:val="both"/>
        <w:rPr>
          <w:rFonts w:ascii="Carlito" w:hAnsi="Carlito"/>
          <w:color w:val="000000"/>
        </w:rPr>
      </w:pPr>
      <w:r>
        <w:rPr>
          <w:rFonts w:ascii="Carlito" w:hAnsi="Carlito"/>
          <w:color w:val="000000"/>
        </w:rPr>
      </w:r>
    </w:p>
    <w:p>
      <w:pPr>
        <w:pStyle w:val="Normal"/>
        <w:widowControl/>
        <w:bidi w:val="0"/>
        <w:spacing w:lineRule="auto" w:line="240"/>
        <w:ind w:left="850" w:right="0" w:hanging="0"/>
        <w:jc w:val="both"/>
        <w:rPr>
          <w:rFonts w:ascii="Carlito" w:hAnsi="Carlito"/>
        </w:rPr>
      </w:pPr>
      <w:r>
        <w:rPr>
          <w:rFonts w:ascii="Carlito" w:hAnsi="Carlito"/>
          <w:b/>
          <w:bCs/>
          <w:color w:val="000000"/>
          <w:sz w:val="20"/>
          <w:szCs w:val="20"/>
        </w:rPr>
        <w:t>10.1.7.</w:t>
        <w:tab/>
      </w:r>
      <w:r>
        <w:rPr>
          <w:rFonts w:ascii="Carlito" w:hAnsi="Carlito"/>
          <w:color w:val="000000"/>
          <w:sz w:val="20"/>
          <w:szCs w:val="20"/>
        </w:rPr>
        <w:t>Pagar indenização no valor de 100% da Tabela FIPE vigentes na data do sinistro, a critério do DNIT, até 30 (trinta) dias da entrega de toda a documentação básica exigida</w:t>
      </w:r>
    </w:p>
    <w:p>
      <w:pPr>
        <w:pStyle w:val="Normal"/>
        <w:widowControl/>
        <w:bidi w:val="0"/>
        <w:spacing w:lineRule="auto" w:line="240"/>
        <w:ind w:left="850" w:right="0" w:hanging="0"/>
        <w:jc w:val="both"/>
        <w:rPr>
          <w:rFonts w:ascii="Carlito" w:hAnsi="Carlito"/>
        </w:rPr>
      </w:pPr>
      <w:commentRangeEnd w:id="10"/>
      <w:r>
        <w:commentReference w:id="10"/>
      </w:r>
      <w:r>
        <w:rPr/>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auto"/>
          <w:sz w:val="24"/>
          <w:szCs w:val="24"/>
        </w:rPr>
        <w:t>11.</w:t>
        <w:tab/>
      </w:r>
      <w:commentRangeStart w:id="11"/>
      <w:r>
        <w:rPr>
          <w:rFonts w:ascii="Carlito" w:hAnsi="Carlito"/>
          <w:i w:val="false"/>
          <w:iCs w:val="false"/>
          <w:color w:val="auto"/>
          <w:sz w:val="24"/>
          <w:szCs w:val="24"/>
        </w:rPr>
        <w:t>Local da prestação dos serviços</w:t>
      </w:r>
    </w:p>
    <w:p>
      <w:pPr>
        <w:pStyle w:val="Nvel2Red"/>
        <w:widowControl/>
        <w:bidi w:val="0"/>
        <w:spacing w:lineRule="auto" w:line="240" w:before="120" w:after="288"/>
        <w:ind w:left="0" w:right="0" w:firstLine="567"/>
        <w:jc w:val="both"/>
        <w:rPr>
          <w:rFonts w:ascii="Carlito" w:hAnsi="Carlito"/>
        </w:rPr>
      </w:pPr>
      <w:r>
        <w:rPr>
          <w:rFonts w:ascii="Carlito" w:hAnsi="Carlito"/>
          <w:i w:val="false"/>
          <w:iCs w:val="false"/>
          <w:color w:val="auto"/>
        </w:rPr>
        <w:t>11.1.</w:t>
        <w:tab/>
        <w:t>Os serviços serão prestados no seguinte endereço  Praça Mauá, nº 65, centro – RJ.</w:t>
      </w:r>
      <w:commentRangeEnd w:id="11"/>
      <w:r>
        <w:commentReference w:id="11"/>
      </w:r>
      <w:r>
        <w:rPr>
          <w:rFonts w:ascii="Carlito" w:hAnsi="Carlito"/>
          <w:i w:val="false"/>
          <w:iCs w:val="false"/>
          <w:color w:val="auto"/>
        </w:rPr>
      </w:r>
    </w:p>
    <w:p>
      <w:pPr>
        <w:pStyle w:val="Nvel1SemNum"/>
        <w:spacing w:lineRule="auto" w:line="240" w:before="120" w:after="288"/>
        <w:ind w:left="0" w:hanging="0"/>
        <w:rPr>
          <w:rFonts w:ascii="Carlito" w:hAnsi="Carlito"/>
        </w:rPr>
      </w:pPr>
      <w:r>
        <w:rPr>
          <w:rFonts w:ascii="Carlito" w:hAnsi="Carlito"/>
          <w:i w:val="false"/>
          <w:iCs w:val="false"/>
          <w:color w:val="000000"/>
          <w:sz w:val="24"/>
          <w:szCs w:val="24"/>
        </w:rPr>
        <w:t>12.</w:t>
        <w:tab/>
        <w:t>Materiais a serem disponibilizados</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12.1.</w:t>
        <w:tab/>
      </w:r>
      <w:r>
        <w:rPr>
          <w:rFonts w:ascii="Carlito" w:hAnsi="Carlito"/>
          <w:i w:val="false"/>
          <w:iCs w:val="false"/>
          <w:color w:val="000000"/>
        </w:rPr>
        <w:t>A Seguradora deverá fornecer manual ou documento equivalente, contendo informações relativas ao funcionamento do seguro automóvel, junto com a apólice e a relação de oficinas credenciadas, bem como demais documentos citados no item 8 deste TERMO DE REFERÊNCIA.</w:t>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000000"/>
          <w:sz w:val="24"/>
          <w:szCs w:val="24"/>
        </w:rPr>
        <w:t>13.</w:t>
        <w:tab/>
        <w:t>Informações relevantes para o dimensionamento da proposta</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13.1.</w:t>
      </w:r>
      <w:r>
        <w:rPr>
          <w:rFonts w:ascii="Carlito" w:hAnsi="Carlito"/>
          <w:i w:val="false"/>
          <w:iCs w:val="false"/>
          <w:color w:val="000000"/>
        </w:rPr>
        <w:tab/>
        <w:t>A descrição da marca, modelo, ano de fabricação e outros dados referentes aos veículos oficiais da frota do  COM1ºDN – Comando do 1º Distrito Naval estão discriminados no item 1.1.deste TERMO DE REFERÊNCIA.</w:t>
      </w:r>
    </w:p>
    <w:p>
      <w:pPr>
        <w:pStyle w:val="Nvel2Red"/>
        <w:widowControl/>
        <w:bidi w:val="0"/>
        <w:spacing w:lineRule="auto" w:line="240" w:before="120" w:after="288"/>
        <w:ind w:left="0" w:right="0" w:firstLine="567"/>
        <w:jc w:val="both"/>
        <w:rPr/>
      </w:pPr>
      <w:r>
        <w:rPr>
          <w:rFonts w:ascii="Carlito" w:hAnsi="Carlito"/>
          <w:b/>
          <w:bCs/>
          <w:i w:val="false"/>
          <w:iCs w:val="false"/>
          <w:color w:val="000000"/>
        </w:rPr>
        <w:t>13.2.</w:t>
        <w:tab/>
      </w:r>
      <w:commentRangeStart w:id="12"/>
      <w:r>
        <w:rPr>
          <w:rFonts w:ascii="Carlito" w:hAnsi="Carlito"/>
          <w:i w:val="false"/>
          <w:iCs w:val="false"/>
          <w:color w:val="000000"/>
        </w:rPr>
        <w:t>Especificação da garantia do serviço (</w:t>
      </w:r>
      <w:r>
        <w:fldChar w:fldCharType="begin"/>
      </w:r>
      <w:r>
        <w:rPr>
          <w:rStyle w:val="LinkdaInternet"/>
          <w:i w:val="false"/>
          <w:iCs w:val="false"/>
          <w:rFonts w:ascii="Carlito" w:hAnsi="Carlito"/>
        </w:rPr>
        <w:instrText> HYPERLINK "http://www.planalto.gov.br/ccivil_03/_ato2019-2022/2021/lei/L14133.htm" \l "art40§1"</w:instrText>
      </w:r>
      <w:r>
        <w:rPr>
          <w:rStyle w:val="LinkdaInternet"/>
          <w:i w:val="false"/>
          <w:iCs w:val="false"/>
          <w:rFonts w:ascii="Carlito" w:hAnsi="Carlito"/>
        </w:rPr>
        <w:fldChar w:fldCharType="separate"/>
      </w:r>
      <w:r>
        <w:rPr>
          <w:rStyle w:val="LinkdaInternet"/>
          <w:rFonts w:ascii="Carlito" w:hAnsi="Carlito"/>
          <w:i w:val="false"/>
          <w:iCs w:val="false"/>
          <w:color w:val="000000"/>
        </w:rPr>
        <w:t>art. 40, §1º, inciso III, da Lei nº 14.133, de 2021</w:t>
      </w:r>
      <w:r>
        <w:rPr>
          <w:rStyle w:val="LinkdaInternet"/>
          <w:i w:val="false"/>
          <w:iCs w:val="false"/>
          <w:rFonts w:ascii="Carlito" w:hAnsi="Carlito"/>
        </w:rPr>
        <w:fldChar w:fldCharType="end"/>
      </w:r>
      <w:r>
        <w:rPr>
          <w:rFonts w:ascii="Carlito" w:hAnsi="Carlito"/>
          <w:i w:val="false"/>
          <w:iCs w:val="false"/>
          <w:color w:val="000000"/>
        </w:rPr>
        <w:t>)</w:t>
      </w:r>
      <w:commentRangeStart w:id="13"/>
      <w:commentRangeEnd w:id="12"/>
      <w:r>
        <w:commentReference w:id="12"/>
      </w:r>
      <w:r>
        <w:rPr>
          <w:rFonts w:ascii="Carlito" w:hAnsi="Carlito"/>
          <w:i w:val="false"/>
          <w:iCs w:val="false"/>
          <w:color w:val="000000"/>
        </w:rPr>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13.3.</w:t>
        <w:tab/>
      </w:r>
      <w:r>
        <w:rPr>
          <w:rFonts w:ascii="Carlito" w:hAnsi="Carlito"/>
          <w:i w:val="false"/>
          <w:iCs w:val="false"/>
          <w:color w:val="000000"/>
        </w:rPr>
        <w:t>O prazo de garantia contratual dos serviços, complementar à garantia legal, será de, no mínimo 6 (seis) meses, contado a partir do primeiro dia útil subsequente à data do recebimento definitivo do objeto.</w:t>
      </w:r>
      <w:commentRangeEnd w:id="13"/>
      <w:r>
        <w:commentReference w:id="13"/>
      </w:r>
      <w:r>
        <w:rPr>
          <w:rFonts w:ascii="Carlito" w:hAnsi="Carlito"/>
          <w:i w:val="false"/>
          <w:iCs w:val="false"/>
          <w:color w:val="000000"/>
        </w:rPr>
      </w:r>
    </w:p>
    <w:p>
      <w:pPr>
        <w:pStyle w:val="Nivel01"/>
        <w:keepNext w:val="true"/>
        <w:keepLines/>
        <w:widowControl/>
        <w:bidi w:val="0"/>
        <w:spacing w:lineRule="auto" w:line="240" w:before="120" w:after="288"/>
        <w:ind w:left="0" w:right="0" w:hanging="0"/>
        <w:jc w:val="both"/>
        <w:rPr>
          <w:rFonts w:ascii="Carlito" w:hAnsi="Carlito"/>
        </w:rPr>
      </w:pPr>
      <w:r>
        <w:rPr>
          <w:rFonts w:ascii="Carlito" w:hAnsi="Carlito"/>
          <w:i w:val="false"/>
          <w:iCs w:val="false"/>
          <w:color w:val="000000"/>
          <w:sz w:val="24"/>
          <w:szCs w:val="24"/>
        </w:rPr>
        <w:t>14.</w:t>
        <w:tab/>
      </w:r>
      <w:r>
        <w:rPr>
          <w:rFonts w:ascii="Carlito" w:hAnsi="Carlito"/>
          <w:i w:val="false"/>
          <w:iCs w:val="false"/>
          <w:sz w:val="24"/>
          <w:szCs w:val="24"/>
        </w:rPr>
        <w:t>MODELO DE GESTÃO DO CONTRATO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14.1.</w:t>
        <w:tab/>
      </w:r>
      <w:r>
        <w:rPr>
          <w:rFonts w:ascii="Carlito" w:hAnsi="Carlito"/>
          <w:i w:val="false"/>
          <w:iCs w:val="false"/>
          <w:color w:val="auto"/>
        </w:rPr>
        <w:t>O contrato deverá ser executado fielmente pelas partes, de acordo com as cláusulas avençadas e as normas da Lei nº 14.133, de 2021, e cada parte responderá pelas consequências de sua inexecução total ou parcial</w:t>
      </w:r>
      <w:r>
        <w:rPr>
          <w:rFonts w:eastAsia="Arial" w:ascii="Carlito" w:hAnsi="Carlito"/>
          <w:i w:val="false"/>
          <w:iCs w:val="false"/>
          <w:color w:val="auto"/>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14.2.</w:t>
        <w:tab/>
      </w:r>
      <w:r>
        <w:rPr>
          <w:rFonts w:ascii="Carlito" w:hAnsi="Carlito"/>
          <w:i w:val="false"/>
          <w:iCs w:val="false"/>
        </w:rPr>
        <w:t>Em caso de impedimento, ordem de paralisação ou suspensão do contrato, o cronograma de execução será prorrogado automaticamente pelo tempo correspondente, anotadas tais circunstâncias mediante simples apostila.</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14.3.</w:t>
        <w:tab/>
      </w:r>
      <w:r>
        <w:rPr>
          <w:rFonts w:ascii="Carlito" w:hAnsi="Carlito"/>
          <w:i w:val="false"/>
          <w:iCs w:val="false"/>
        </w:rPr>
        <w:t>As comunicações entre o órgão ou entidade e a contratada devem ser realizadas por escrito sempre que o ato exigir tal formalidade, admitindo-se o uso de mensagem eletrônica para esse fim.</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14.4.</w:t>
        <w:tab/>
      </w:r>
      <w:r>
        <w:rPr>
          <w:rFonts w:ascii="Carlito" w:hAnsi="Carlito"/>
          <w:i w:val="false"/>
          <w:iCs w:val="false"/>
          <w:color w:val="000000"/>
        </w:rPr>
        <w:t>O órgão ou entidade poderá convocar representante da empresa para adoção de providências que devam ser cumpridas de imediato.</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14.5.</w:t>
        <w:tab/>
      </w:r>
      <w:r>
        <w:rPr>
          <w:rFonts w:ascii="Carlito" w:hAnsi="Carlito"/>
          <w:i w:val="false"/>
          <w:iCs w:val="false"/>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widowControl/>
        <w:bidi w:val="0"/>
        <w:spacing w:lineRule="auto" w:line="240" w:before="120" w:after="288"/>
        <w:ind w:left="0" w:right="0" w:firstLine="567"/>
        <w:jc w:val="both"/>
        <w:rPr/>
      </w:pPr>
      <w:r>
        <w:rPr>
          <w:rFonts w:ascii="Carlito" w:hAnsi="Carlito"/>
          <w:b/>
          <w:bCs/>
          <w:i w:val="false"/>
          <w:iCs w:val="false"/>
          <w:color w:val="auto"/>
        </w:rPr>
        <w:t>14.6.</w:t>
        <w:tab/>
      </w:r>
      <w:commentRangeStart w:id="14"/>
      <w:r>
        <w:rPr>
          <w:rFonts w:ascii="Carlito" w:hAnsi="Carlito"/>
          <w:i w:val="false"/>
          <w:iCs w:val="false"/>
        </w:rPr>
        <w:t xml:space="preserve">A execução do contrato deverá ser acompanhada e fiscalizada pelo(s) fiscal(is) do contrato, ou pelos respectivos substitutos </w:t>
      </w:r>
      <w:r>
        <w:fldChar w:fldCharType="begin"/>
      </w:r>
      <w:r>
        <w:rPr>
          <w:rStyle w:val="LinkdaInternet"/>
          <w:i w:val="false"/>
          <w:iCs w:val="false"/>
          <w:rFonts w:ascii="Carlito" w:hAnsi="Carlito"/>
        </w:rPr>
        <w:instrText> HYPERLINK "http://www.planalto.gov.br/ccivil_03/_ato2019-2022/2021/lei/L14133.htm" \l "art117"</w:instrText>
      </w:r>
      <w:r>
        <w:rPr>
          <w:rStyle w:val="LinkdaInternet"/>
          <w:i w:val="false"/>
          <w:iCs w:val="false"/>
          <w:rFonts w:ascii="Carlito" w:hAnsi="Carlito"/>
        </w:rPr>
        <w:fldChar w:fldCharType="separate"/>
      </w:r>
      <w:r>
        <w:rPr>
          <w:rStyle w:val="LinkdaInternet"/>
          <w:rFonts w:ascii="Carlito" w:hAnsi="Carlito"/>
          <w:i w:val="false"/>
          <w:iCs w:val="false"/>
        </w:rPr>
        <w:t>(Lei nº 14.133, de 2021, art. 117, caput</w:t>
      </w:r>
      <w:r>
        <w:rPr>
          <w:rStyle w:val="LinkdaInternet"/>
          <w:i w:val="false"/>
          <w:iCs w:val="false"/>
          <w:rFonts w:ascii="Carlito" w:hAnsi="Carlito"/>
        </w:rPr>
        <w:fldChar w:fldCharType="end"/>
      </w:r>
      <w:r>
        <w:rPr>
          <w:rFonts w:ascii="Carlito" w:hAnsi="Carlito"/>
          <w:i w:val="false"/>
          <w:iCs w:val="false"/>
        </w:rPr>
        <w:t>).</w:t>
      </w:r>
      <w:commentRangeEnd w:id="14"/>
      <w:r>
        <w:commentReference w:id="14"/>
      </w:r>
      <w:r>
        <w:rPr>
          <w:rFonts w:ascii="Carlito" w:hAnsi="Carlito"/>
          <w:i w:val="false"/>
          <w:iCs w:val="false"/>
        </w:rPr>
      </w:r>
    </w:p>
    <w:p>
      <w:pPr>
        <w:pStyle w:val="Nivel2"/>
        <w:widowControl/>
        <w:bidi w:val="0"/>
        <w:spacing w:lineRule="auto" w:line="240" w:before="120" w:after="288"/>
        <w:ind w:left="0" w:right="0" w:firstLine="567"/>
        <w:jc w:val="both"/>
        <w:rPr/>
      </w:pPr>
      <w:r>
        <w:rPr>
          <w:rFonts w:ascii="Carlito" w:hAnsi="Carlito"/>
          <w:b/>
          <w:bCs/>
          <w:i w:val="false"/>
          <w:iCs w:val="false"/>
          <w:color w:val="auto"/>
        </w:rPr>
        <w:t>14.7.</w:t>
        <w:tab/>
      </w:r>
      <w:r>
        <w:rPr>
          <w:rFonts w:ascii="Carlito" w:hAnsi="Carlito"/>
          <w:i w:val="false"/>
          <w:iCs w:val="false"/>
        </w:rPr>
        <w:t xml:space="preserve">O fiscal técnico do contrato acompanhará a execução do contrato, para que sejam cumpridas todas as condições estabelecidas no contrato, de modo a assegurar os melhores resultados para a Administração. </w:t>
      </w:r>
      <w:r>
        <w:rPr>
          <w:rFonts w:eastAsia="Arial" w:ascii="Carlito" w:hAnsi="Carlito"/>
          <w:i w:val="false"/>
          <w:iCs w:val="false"/>
        </w:rPr>
        <w:t>(</w:t>
      </w:r>
      <w:r>
        <w:fldChar w:fldCharType="begin"/>
      </w:r>
      <w:r>
        <w:rPr>
          <w:rStyle w:val="LinkdaInternet"/>
          <w:i w:val="false"/>
          <w:iCs w:val="false"/>
          <w:rFonts w:eastAsia="Arial" w:ascii="Carlito" w:hAnsi="Carlito"/>
        </w:rPr>
        <w:instrText> HYPERLINK "http://www.planalto.gov.br/ccivil_03/_ato2019-2022/2022/decreto/D11246.htm" \l "art22"</w:instrText>
      </w:r>
      <w:r>
        <w:rPr>
          <w:rStyle w:val="LinkdaInternet"/>
          <w:i w:val="false"/>
          <w:iCs w:val="false"/>
          <w:rFonts w:eastAsia="Arial" w:ascii="Carlito" w:hAnsi="Carlito"/>
        </w:rPr>
        <w:fldChar w:fldCharType="separate"/>
      </w:r>
      <w:r>
        <w:rPr>
          <w:rStyle w:val="LinkdaInternet"/>
          <w:rFonts w:eastAsia="Arial" w:ascii="Carlito" w:hAnsi="Carlito"/>
          <w:i w:val="false"/>
          <w:iCs w:val="false"/>
        </w:rPr>
        <w:t>Decreto nº 11.246, de 2022, art. 22, VI</w:t>
      </w:r>
      <w:r>
        <w:rPr>
          <w:rStyle w:val="LinkdaInternet"/>
          <w:i w:val="false"/>
          <w:iCs w:val="false"/>
          <w:rFonts w:eastAsia="Arial" w:ascii="Carlito" w:hAnsi="Carlito"/>
        </w:rPr>
        <w:fldChar w:fldCharType="end"/>
      </w:r>
      <w:r>
        <w:rPr>
          <w:rFonts w:eastAsia="Arial"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14.8.</w:t>
        <w:tab/>
      </w:r>
      <w:r>
        <w:rPr>
          <w:rFonts w:ascii="Carlito" w:hAnsi="Carlito"/>
          <w:i w:val="false"/>
          <w:iCs w:val="false"/>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i w:val="false"/>
          <w:iCs w:val="false"/>
          <w:rFonts w:ascii="Carlito" w:hAnsi="Carlito"/>
        </w:rPr>
        <w:instrText> HYPERLINK "http://www.planalto.gov.br/ccivil_03/_ato2019-2022/2021/lei/L14133.htm" \l "art117§1"</w:instrText>
      </w:r>
      <w:r>
        <w:rPr>
          <w:rStyle w:val="LinkdaInternet"/>
          <w:i w:val="false"/>
          <w:iCs w:val="false"/>
          <w:rFonts w:ascii="Carlito" w:hAnsi="Carlito"/>
        </w:rPr>
        <w:fldChar w:fldCharType="separate"/>
      </w:r>
      <w:r>
        <w:rPr>
          <w:rStyle w:val="LinkdaInternet"/>
          <w:rFonts w:ascii="Carlito" w:hAnsi="Carlito"/>
          <w:i w:val="false"/>
          <w:iCs w:val="false"/>
        </w:rPr>
        <w:t>Lei nº 14.133, de 2021, art. 117, §1º</w:t>
      </w:r>
      <w:r>
        <w:rPr>
          <w:rStyle w:val="LinkdaInternet"/>
          <w:i w:val="false"/>
          <w:iCs w:val="false"/>
          <w:rFonts w:ascii="Carlito" w:hAnsi="Carlito"/>
        </w:rPr>
        <w:fldChar w:fldCharType="end"/>
      </w:r>
      <w:r>
        <w:rPr>
          <w:rFonts w:ascii="Carlito" w:hAnsi="Carlito"/>
          <w:i w:val="false"/>
          <w:iCs w:val="false"/>
        </w:rPr>
        <w:t xml:space="preserve">, e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II</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w:t>
        <w:tab/>
      </w:r>
      <w:r>
        <w:rPr>
          <w:rFonts w:ascii="Carlito" w:hAnsi="Carlito"/>
          <w:i w:val="false"/>
          <w:iCs w:val="false"/>
        </w:rPr>
        <w:t>Identificada qualquer inexatidão ou irregularidade, o fiscal técnico do contrato emitirá notificações para a correção da execução do contrato, determinando prazo para a correção.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III</w:t>
      </w:r>
      <w:r>
        <w:rPr>
          <w:rStyle w:val="LinkdaInternet"/>
          <w:i w:val="false"/>
          <w:iCs w:val="false"/>
          <w:rFonts w:ascii="Carlito" w:hAnsi="Carlito"/>
        </w:rPr>
        <w:fldChar w:fldCharType="end"/>
      </w:r>
      <w:r>
        <w:rPr>
          <w:rFonts w:ascii="Carlito" w:hAnsi="Carlito"/>
          <w:i w:val="false"/>
          <w:iCs w:val="false"/>
        </w:rPr>
        <w:t xml:space="preserve">); </w:t>
      </w:r>
    </w:p>
    <w:p>
      <w:pPr>
        <w:pStyle w:val="Nivel3"/>
        <w:widowControl/>
        <w:bidi w:val="0"/>
        <w:spacing w:lineRule="auto" w:line="240" w:before="120" w:after="288"/>
        <w:ind w:left="0" w:right="0" w:firstLine="567"/>
        <w:jc w:val="both"/>
        <w:rPr/>
      </w:pPr>
      <w:r>
        <w:rPr>
          <w:rFonts w:ascii="Carlito" w:hAnsi="Carlito"/>
          <w:b/>
          <w:bCs/>
          <w:i w:val="false"/>
          <w:iCs w:val="false"/>
          <w:color w:val="auto"/>
        </w:rPr>
        <w:t>14.9.</w:t>
        <w:tab/>
      </w:r>
      <w:r>
        <w:rPr>
          <w:rFonts w:ascii="Carlito" w:hAnsi="Carlito"/>
          <w:i w:val="false"/>
          <w:iCs w:val="false"/>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IV</w:t>
      </w:r>
      <w:r>
        <w:rPr>
          <w:rStyle w:val="LinkdaInternet"/>
          <w:i w:val="false"/>
          <w:iCs w:val="false"/>
          <w:rFonts w:ascii="Carlito" w:hAnsi="Carlito"/>
        </w:rPr>
        <w:fldChar w:fldCharType="end"/>
      </w:r>
      <w:r>
        <w:rPr>
          <w:rFonts w:eastAsia="Arial" w:ascii="Carlito" w:hAnsi="Carlito"/>
          <w:i w:val="false"/>
          <w:iCs w:val="false"/>
          <w:color w:val="auto"/>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14.10.</w:t>
        <w:tab/>
      </w:r>
      <w:r>
        <w:rPr>
          <w:rFonts w:ascii="Carlito" w:hAnsi="Carlito"/>
          <w:i w:val="false"/>
          <w:iCs w:val="false"/>
        </w:rPr>
        <w:t>No caso de ocorrências que possam inviabilizar a execução do contrato nas datas aprazadas, o fiscal técnico do contrato comunicará o fato imediatamente ao gestor do contrato.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V</w:t>
      </w:r>
      <w:r>
        <w:rPr>
          <w:rStyle w:val="LinkdaInternet"/>
          <w:i w:val="false"/>
          <w:iCs w:val="false"/>
          <w:rFonts w:ascii="Carlito" w:hAnsi="Carlito"/>
        </w:rPr>
        <w:fldChar w:fldCharType="end"/>
      </w:r>
      <w:r>
        <w:rPr>
          <w:rFonts w:eastAsia="Times New Roman" w:ascii="Carlito" w:hAnsi="Carlito"/>
          <w:i w:val="false"/>
          <w:iCs w:val="false"/>
          <w:color w:val="auto"/>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14.11.</w:t>
        <w:tab/>
      </w:r>
      <w:r>
        <w:rPr>
          <w:rFonts w:ascii="Carlito" w:hAnsi="Carlito"/>
          <w:i w:val="false"/>
          <w:iCs w:val="false"/>
        </w:rPr>
        <w:t xml:space="preserve">O fiscal técnico do contrato comunicará ao gestor do contrato, em tempo hábil, o término do contrato sob sua responsabilidade, com vistas à tempestiva </w:t>
      </w:r>
      <w:r>
        <w:rPr>
          <w:rFonts w:eastAsia="Times New Roman" w:ascii="Carlito" w:hAnsi="Carlito"/>
          <w:i w:val="false"/>
          <w:iCs w:val="false"/>
          <w:color w:val="auto"/>
        </w:rPr>
        <w:t xml:space="preserve">renovação </w:t>
      </w:r>
      <w:r>
        <w:rPr>
          <w:rFonts w:ascii="Carlito" w:hAnsi="Carlito"/>
          <w:i w:val="false"/>
          <w:iCs w:val="false"/>
        </w:rPr>
        <w:t>ou à prorrogação contratual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VII</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14.12.</w:t>
        <w:tab/>
      </w:r>
      <w:r>
        <w:rPr>
          <w:rFonts w:ascii="Carlito" w:hAnsi="Carlito"/>
          <w:i w:val="false"/>
          <w:iCs w:val="false"/>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21, II</w:t>
      </w:r>
      <w:r>
        <w:rPr>
          <w:rStyle w:val="LinkdaInternet"/>
          <w:i w:val="false"/>
          <w:iCs w:val="false"/>
          <w:rFonts w:ascii="Carlito" w:hAnsi="Carlito"/>
        </w:rPr>
        <w:fldChar w:fldCharType="end"/>
      </w:r>
      <w:r>
        <w:rPr>
          <w:rFonts w:ascii="Carlito" w:hAnsi="Carlito"/>
          <w:i w:val="false"/>
          <w:iCs w:val="false"/>
        </w:rPr>
        <w:t>).</w:t>
      </w:r>
    </w:p>
    <w:p>
      <w:pPr>
        <w:pStyle w:val="Nivel2"/>
        <w:widowControl/>
        <w:bidi w:val="0"/>
        <w:spacing w:lineRule="auto" w:line="240" w:before="120" w:after="288"/>
        <w:ind w:left="0" w:right="0" w:firstLine="567"/>
        <w:jc w:val="both"/>
        <w:rPr/>
      </w:pPr>
      <w:r>
        <w:rPr>
          <w:rFonts w:ascii="Carlito" w:hAnsi="Carlito"/>
          <w:b/>
          <w:bCs/>
          <w:i w:val="false"/>
          <w:iCs w:val="false"/>
          <w:color w:val="auto"/>
        </w:rPr>
        <w:t>14.13.</w:t>
        <w:tab/>
      </w:r>
      <w:r>
        <w:rPr>
          <w:rFonts w:ascii="Carlito" w:hAnsi="Carlito"/>
          <w:i w:val="false"/>
          <w:iCs w:val="fals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i w:val="false"/>
          <w:iCs w:val="false"/>
          <w:rFonts w:ascii="Carlito" w:hAnsi="Carlito"/>
        </w:rPr>
        <w:instrText> HYPERLINK "http://www.planalto.gov.br/ccivil_03/_ato2019-2022/2022/decreto/D11246.htm" \l "art23"</w:instrText>
      </w:r>
      <w:r>
        <w:rPr>
          <w:rStyle w:val="LinkdaInternet"/>
          <w:i w:val="false"/>
          <w:iCs w:val="false"/>
          <w:rFonts w:ascii="Carlito" w:hAnsi="Carlito"/>
        </w:rPr>
        <w:fldChar w:fldCharType="separate"/>
      </w:r>
      <w:r>
        <w:rPr>
          <w:rStyle w:val="LinkdaInternet"/>
          <w:rFonts w:ascii="Carlito" w:hAnsi="Carlito"/>
          <w:i w:val="false"/>
          <w:iCs w:val="false"/>
        </w:rPr>
        <w:t>Art. 23, I e II, do Decreto nº 11.246, de 2022</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14.14.</w:t>
        <w:tab/>
      </w:r>
      <w:r>
        <w:rPr>
          <w:rFonts w:ascii="Carlito" w:hAnsi="Carlito"/>
          <w:i w:val="false"/>
          <w:iCs w:val="false"/>
        </w:rPr>
        <w:t>Caso ocorram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i w:val="false"/>
          <w:iCs w:val="false"/>
          <w:rFonts w:ascii="Carlito" w:hAnsi="Carlito"/>
        </w:rPr>
        <w:instrText> HYPERLINK "http://www.planalto.gov.br/ccivil_03/_ato2019-2022/2022/decreto/D11246.htm" \l "art23"</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23, IV</w:t>
      </w:r>
      <w:r>
        <w:rPr>
          <w:rStyle w:val="LinkdaInternet"/>
          <w:i w:val="false"/>
          <w:iCs w:val="false"/>
          <w:rFonts w:ascii="Carlito" w:hAnsi="Carlito"/>
        </w:rPr>
        <w:fldChar w:fldCharType="end"/>
      </w:r>
      <w:r>
        <w:rPr>
          <w:rFonts w:ascii="Carlito" w:hAnsi="Carlito"/>
          <w:i w:val="false"/>
          <w:iCs w:val="false"/>
        </w:rPr>
        <w:t>).</w:t>
      </w:r>
    </w:p>
    <w:p>
      <w:pPr>
        <w:pStyle w:val="Nivel2"/>
        <w:widowControl/>
        <w:bidi w:val="0"/>
        <w:spacing w:lineRule="auto" w:line="240" w:before="120" w:after="288"/>
        <w:ind w:left="0" w:right="0" w:firstLine="567"/>
        <w:jc w:val="both"/>
        <w:rPr/>
      </w:pPr>
      <w:r>
        <w:rPr>
          <w:rFonts w:ascii="Carlito" w:hAnsi="Carlito"/>
          <w:b/>
          <w:bCs/>
          <w:i w:val="false"/>
          <w:iCs w:val="false"/>
          <w:color w:val="auto"/>
        </w:rPr>
        <w:t>14.15.</w:t>
        <w:tab/>
      </w:r>
      <w:r>
        <w:rPr>
          <w:rFonts w:ascii="Carlito" w:hAnsi="Carlito"/>
          <w:i w:val="false"/>
          <w:iCs w:val="false"/>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21, IV</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14.16.</w:t>
        <w:tab/>
      </w:r>
      <w:r>
        <w:rPr>
          <w:rFonts w:ascii="Carlito" w:hAnsi="Carlito"/>
          <w:i w:val="false"/>
          <w:iCs w:val="false"/>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21, III</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14.17.</w:t>
        <w:tab/>
      </w:r>
      <w:r>
        <w:rPr>
          <w:rFonts w:ascii="Carlito" w:hAnsi="Carlito"/>
          <w:i w:val="false"/>
          <w:iCs w:val="false"/>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21, VIII</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0" w:right="0" w:firstLine="567"/>
        <w:jc w:val="both"/>
        <w:rPr/>
      </w:pPr>
      <w:r>
        <w:rPr>
          <w:rFonts w:ascii="Carlito" w:hAnsi="Carlito"/>
          <w:b/>
          <w:bCs/>
          <w:i w:val="false"/>
          <w:iCs w:val="false"/>
          <w:color w:val="auto"/>
        </w:rPr>
        <w:t>14.18.</w:t>
        <w:tab/>
      </w:r>
      <w:r>
        <w:rPr>
          <w:rFonts w:ascii="Carlito" w:hAnsi="Carlito"/>
          <w:i w:val="false"/>
          <w:iCs w:val="false"/>
        </w:rPr>
        <w:t xml:space="preserve">O gestor do contrato tomará providências para a formalização de processo administrativo de responsabilização para fins de aplicação de sanções, a ser conduzido pela comissão de que trata o </w:t>
      </w:r>
      <w:r>
        <w:fldChar w:fldCharType="begin"/>
      </w:r>
      <w:r>
        <w:rPr>
          <w:rStyle w:val="LinkdaInternet"/>
          <w:i w:val="false"/>
          <w:iCs w:val="false"/>
          <w:rFonts w:ascii="Carlito" w:hAnsi="Carlito"/>
        </w:rPr>
        <w:instrText> HYPERLINK "http://www.planalto.gov.br/ccivil_03/_ato2019-2022/2021/lei/L14133.htm" \l "art158"</w:instrText>
      </w:r>
      <w:r>
        <w:rPr>
          <w:rStyle w:val="LinkdaInternet"/>
          <w:i w:val="false"/>
          <w:iCs w:val="false"/>
          <w:rFonts w:ascii="Carlito" w:hAnsi="Carlito"/>
        </w:rPr>
        <w:fldChar w:fldCharType="separate"/>
      </w:r>
      <w:r>
        <w:rPr>
          <w:rStyle w:val="LinkdaInternet"/>
          <w:rFonts w:ascii="Carlito" w:hAnsi="Carlito"/>
          <w:i w:val="false"/>
          <w:iCs w:val="false"/>
        </w:rPr>
        <w:t>art. 158 da Lei nº 14.133, de 2021</w:t>
      </w:r>
      <w:r>
        <w:rPr>
          <w:rStyle w:val="LinkdaInternet"/>
          <w:i w:val="false"/>
          <w:iCs w:val="false"/>
          <w:rFonts w:ascii="Carlito" w:hAnsi="Carlito"/>
        </w:rPr>
        <w:fldChar w:fldCharType="end"/>
      </w:r>
      <w:r>
        <w:rPr>
          <w:rFonts w:ascii="Carlito" w:hAnsi="Carlito"/>
          <w:i w:val="false"/>
          <w:iCs w:val="false"/>
        </w:rPr>
        <w:t>, ou pelo agente ou pelo setor com competência para tal, conforme o caso.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21, X</w:t>
      </w:r>
      <w:r>
        <w:rPr>
          <w:rStyle w:val="LinkdaInternet"/>
          <w:i w:val="false"/>
          <w:iCs w:val="false"/>
          <w:rFonts w:ascii="Carlito" w:hAnsi="Carlito"/>
        </w:rPr>
        <w:fldChar w:fldCharType="end"/>
      </w:r>
      <w:r>
        <w:rPr>
          <w:rFonts w:ascii="Carlito" w:hAnsi="Carlito"/>
          <w:i w:val="false"/>
          <w:iCs w:val="false"/>
        </w:rPr>
        <w:t>).</w:t>
      </w:r>
    </w:p>
    <w:p>
      <w:pPr>
        <w:pStyle w:val="Nivel2"/>
        <w:widowControl/>
        <w:bidi w:val="0"/>
        <w:spacing w:lineRule="auto" w:line="240" w:before="120" w:after="288"/>
        <w:ind w:left="0" w:right="0" w:firstLine="567"/>
        <w:jc w:val="both"/>
        <w:rPr/>
      </w:pPr>
      <w:r>
        <w:rPr>
          <w:rFonts w:ascii="Carlito" w:hAnsi="Carlito"/>
          <w:b/>
          <w:bCs/>
          <w:i w:val="false"/>
          <w:iCs w:val="false"/>
          <w:color w:val="auto"/>
        </w:rPr>
        <w:t>14.19.</w:t>
        <w:tab/>
      </w:r>
      <w:r>
        <w:rPr>
          <w:rFonts w:ascii="Carlito" w:hAnsi="Carlito"/>
          <w:i w:val="false"/>
          <w:iCs w:val="false"/>
        </w:rPr>
        <w:t>O fiscal administrativo do contrato comunicará ao gestor do contrato, em tempo hábil, o término do contrato sob sua responsabilidade, com vistas à tempestiva renovação ou prorrogação contratual.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rPr>
        <w:t>Decreto nº 11.246, de 2022, art. 22, VII).</w:t>
      </w:r>
      <w:r>
        <w:rPr>
          <w:rStyle w:val="LinkdaInternet"/>
          <w:i w:val="false"/>
          <w:iCs w:val="false"/>
          <w:rFonts w:ascii="Carlito" w:hAnsi="Carlito"/>
        </w:rPr>
        <w:fldChar w:fldCharType="end"/>
      </w:r>
    </w:p>
    <w:p>
      <w:pPr>
        <w:pStyle w:val="Nivel2"/>
        <w:widowControl/>
        <w:bidi w:val="0"/>
        <w:spacing w:lineRule="auto" w:line="240" w:before="120" w:after="288"/>
        <w:ind w:left="0" w:right="0" w:firstLine="567"/>
        <w:jc w:val="both"/>
        <w:rPr/>
      </w:pPr>
      <w:r>
        <w:rPr>
          <w:rFonts w:ascii="Carlito" w:hAnsi="Carlito"/>
          <w:b/>
          <w:bCs/>
          <w:i w:val="false"/>
          <w:iCs w:val="false"/>
          <w:color w:val="auto"/>
        </w:rPr>
        <w:t>14.20.</w:t>
        <w:tab/>
      </w:r>
      <w:r>
        <w:rPr>
          <w:rFonts w:ascii="Carlito" w:hAnsi="Carlito"/>
          <w:i w:val="false"/>
          <w:iCs w:val="false"/>
        </w:rPr>
        <w:t>O gestor do contrato deverá elaborar</w:t>
      </w:r>
      <w:r>
        <w:rPr>
          <w:rFonts w:ascii="Carlito" w:hAnsi="Carlito"/>
          <w:i w:val="false"/>
          <w:iCs w:val="false"/>
          <w:color w:val="auto"/>
        </w:rPr>
        <w:t xml:space="preserve"> relató</w:t>
      </w:r>
      <w:r>
        <w:rPr>
          <w:rFonts w:eastAsia="Arial" w:ascii="Carlito" w:hAnsi="Carlito"/>
          <w:i w:val="false"/>
          <w:iCs w:val="false"/>
          <w:color w:val="auto"/>
        </w:rPr>
        <w:t>rio final com informações sobre a consecução dos objetivos que tenham justificado a contratação e eventuais condutas a serem adotadas para o aprimoramento das atividades da Administração. (</w:t>
      </w:r>
      <w:r>
        <w:fldChar w:fldCharType="begin"/>
      </w:r>
      <w:r>
        <w:rPr>
          <w:rStyle w:val="LinkdaInternet"/>
          <w:i w:val="false"/>
          <w:iCs w:val="false"/>
          <w:rFonts w:eastAsia="Arial" w:ascii="Carlito" w:hAnsi="Carlito"/>
        </w:rPr>
        <w:instrText> HYPERLINK "http://www.planalto.gov.br/ccivil_03/_ato2019-2022/2022/decreto/D11246.htm" \l "art21"</w:instrText>
      </w:r>
      <w:r>
        <w:rPr>
          <w:rStyle w:val="LinkdaInternet"/>
          <w:i w:val="false"/>
          <w:iCs w:val="false"/>
          <w:rFonts w:eastAsia="Arial" w:ascii="Carlito" w:hAnsi="Carlito"/>
        </w:rPr>
        <w:fldChar w:fldCharType="separate"/>
      </w:r>
      <w:r>
        <w:rPr>
          <w:rStyle w:val="LinkdaInternet"/>
          <w:rFonts w:eastAsia="Arial" w:ascii="Carlito" w:hAnsi="Carlito"/>
          <w:i w:val="false"/>
          <w:iCs w:val="false"/>
        </w:rPr>
        <w:t>Decreto nº 11.246, de 2022, art. 21,</w:t>
      </w:r>
      <w:r>
        <w:rPr>
          <w:rStyle w:val="LinkdaInternet"/>
          <w:i w:val="false"/>
          <w:iCs w:val="false"/>
          <w:rFonts w:eastAsia="Arial" w:ascii="Carlito" w:hAnsi="Carlito"/>
        </w:rPr>
        <w:fldChar w:fldCharType="end"/>
      </w:r>
      <w:r>
        <w:rPr>
          <w:rStyle w:val="LinkdaInternet"/>
          <w:rFonts w:ascii="Carlito" w:hAnsi="Carlito"/>
          <w:i w:val="false"/>
          <w:iCs w:val="false"/>
        </w:rPr>
        <w:t xml:space="preserve"> VI</w:t>
      </w:r>
      <w:r>
        <w:rPr>
          <w:rFonts w:ascii="Carlito" w:hAnsi="Carlito"/>
          <w:i w:val="false"/>
          <w:iCs w:val="false"/>
          <w:color w:val="auto"/>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14.21.</w:t>
        <w:tab/>
      </w:r>
      <w:r>
        <w:rPr>
          <w:rFonts w:ascii="Carlito" w:hAnsi="Carlito"/>
          <w:i w:val="false"/>
          <w:iCs w:val="false"/>
        </w:rPr>
        <w:t>O gestor do contrato deverá enviar a documentação pertinente ao setor de contratos para a formalização dos procedimentos de liquidação e pagamento, no valor dimensionado pela fiscalização e gestão nos termos do contrato.</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14.22.</w:t>
        <w:tab/>
      </w:r>
      <w:commentRangeStart w:id="15"/>
      <w:r>
        <w:rPr>
          <w:rFonts w:ascii="Carlito" w:hAnsi="Carlito"/>
          <w:i w:val="false"/>
          <w:iCs w:val="false"/>
          <w:color w:val="000000"/>
        </w:rPr>
        <w:t>O contratado deverá manter preposto aceito pela Administração no local do serviço para representá-lo na execução do contrato.</w:t>
      </w:r>
    </w:p>
    <w:p>
      <w:pPr>
        <w:pStyle w:val="Nvel3R"/>
        <w:widowControl/>
        <w:tabs>
          <w:tab w:val="clear" w:pos="708"/>
          <w:tab w:val="left" w:pos="675" w:leader="none"/>
        </w:tabs>
        <w:bidi w:val="0"/>
        <w:spacing w:lineRule="auto" w:line="240" w:before="120" w:after="288"/>
        <w:ind w:left="0" w:right="0" w:firstLine="567"/>
        <w:jc w:val="both"/>
        <w:rPr>
          <w:rFonts w:ascii="Carlito" w:hAnsi="Carlito"/>
        </w:rPr>
      </w:pPr>
      <w:r>
        <w:rPr>
          <w:rFonts w:ascii="Carlito" w:hAnsi="Carlito"/>
          <w:b/>
          <w:bCs/>
          <w:i w:val="false"/>
          <w:iCs w:val="false"/>
          <w:color w:val="auto"/>
        </w:rPr>
        <w:t>14.23.</w:t>
        <w:tab/>
      </w:r>
      <w:r>
        <w:rPr>
          <w:rFonts w:ascii="Carlito" w:hAnsi="Carlito"/>
          <w:i w:val="false"/>
          <w:iCs w:val="false"/>
          <w:color w:val="000000"/>
        </w:rPr>
        <w:t>A indicação ou a manutenção do preposto da empresa poderá ser recusada pelo órgão ou entidade, desde que devidamente justificada, devendo a empresa designar outro para o exercício da atividade.</w:t>
      </w:r>
      <w:commentRangeEnd w:id="15"/>
      <w:r>
        <w:commentReference w:id="15"/>
      </w:r>
      <w:r>
        <w:rPr>
          <w:rFonts w:ascii="Carlito" w:hAnsi="Carlito"/>
          <w:i w:val="false"/>
          <w:iCs w:val="false"/>
          <w:color w:val="000000"/>
        </w:rPr>
      </w:r>
    </w:p>
    <w:p>
      <w:pPr>
        <w:pStyle w:val="Nivel01"/>
        <w:keepNext w:val="true"/>
        <w:keepLines/>
        <w:widowControl/>
        <w:bidi w:val="0"/>
        <w:spacing w:lineRule="auto" w:line="240" w:before="120" w:after="288"/>
        <w:ind w:left="0" w:right="0" w:hanging="0"/>
        <w:jc w:val="both"/>
        <w:rPr>
          <w:rFonts w:ascii="Carlito" w:hAnsi="Carlito"/>
        </w:rPr>
      </w:pPr>
      <w:r>
        <w:rPr>
          <w:rFonts w:ascii="Carlito" w:hAnsi="Carlito"/>
          <w:i w:val="false"/>
          <w:iCs w:val="false"/>
          <w:color w:val="000000"/>
          <w:sz w:val="24"/>
          <w:szCs w:val="24"/>
        </w:rPr>
        <w:t>15.</w:t>
        <w:tab/>
      </w:r>
      <w:commentRangeStart w:id="16"/>
      <w:r>
        <w:rPr>
          <w:rFonts w:ascii="Carlito" w:hAnsi="Carlito"/>
          <w:i w:val="false"/>
          <w:iCs w:val="false"/>
          <w:color w:val="000000"/>
          <w:sz w:val="24"/>
          <w:szCs w:val="24"/>
        </w:rPr>
        <w:t>CRITÉRIOS DE MEDI</w:t>
      </w:r>
      <w:r>
        <w:rPr>
          <w:rFonts w:ascii="Carlito" w:hAnsi="Carlito"/>
          <w:i w:val="false"/>
          <w:iCs w:val="false"/>
          <w:sz w:val="24"/>
          <w:szCs w:val="24"/>
        </w:rPr>
        <w:t>ÇÃO E PAGAMENTO</w:t>
      </w:r>
      <w:commentRangeEnd w:id="16"/>
      <w:r>
        <w:commentReference w:id="16"/>
      </w:r>
      <w:r>
        <w:rPr>
          <w:rFonts w:ascii="Carlito" w:hAnsi="Carlito"/>
          <w:i w:val="false"/>
          <w:iCs w:val="false"/>
          <w:sz w:val="24"/>
          <w:szCs w:val="24"/>
        </w:rPr>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rPr>
        <w:t>15.1.</w:t>
        <w:tab/>
      </w:r>
      <w:r>
        <w:rPr>
          <w:rFonts w:ascii="Carlito" w:hAnsi="Carlito"/>
          <w:i w:val="false"/>
          <w:iCs w:val="false"/>
          <w:color w:val="000000" w:themeColor="text1"/>
        </w:rPr>
        <w:t xml:space="preserve">A avaliação da execução do objeto utilizará </w:t>
      </w:r>
      <w:r>
        <w:rPr>
          <w:rFonts w:ascii="Carlito" w:hAnsi="Carlito"/>
          <w:i w:val="false"/>
          <w:iCs w:val="false"/>
          <w:color w:val="000000"/>
        </w:rPr>
        <w:t>outro instrumento substituto para aferição da qualidade da prestação dos serviços.</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rPr>
        <w:t>15.2.</w:t>
        <w:tab/>
      </w:r>
      <w:r>
        <w:rPr>
          <w:rFonts w:ascii="Carlito" w:hAnsi="Carlito"/>
          <w:i w:val="false"/>
          <w:iCs w:val="false"/>
        </w:rPr>
        <w:t>Será indicada a retenção ou glosa no pagamento, proporcional à irregularidade verificada, sem prejuízo das sanções cabíveis, caso se constate que a Contratada:</w:t>
      </w:r>
    </w:p>
    <w:p>
      <w:pPr>
        <w:pStyle w:val="Nivel2"/>
        <w:widowControl/>
        <w:bidi w:val="0"/>
        <w:spacing w:lineRule="auto" w:line="240" w:before="120" w:after="288"/>
        <w:ind w:left="850" w:right="0" w:hanging="0"/>
        <w:jc w:val="both"/>
        <w:rPr>
          <w:rFonts w:ascii="Carlito" w:hAnsi="Carlito"/>
        </w:rPr>
      </w:pPr>
      <w:bookmarkStart w:id="2" w:name="__DdeLink__24240_3172998283"/>
      <w:r>
        <w:rPr>
          <w:rFonts w:ascii="Carlito" w:hAnsi="Carlito"/>
          <w:b/>
          <w:bCs/>
          <w:i w:val="false"/>
          <w:iCs w:val="false"/>
        </w:rPr>
        <w:t>15.2.1.</w:t>
      </w:r>
      <w:bookmarkEnd w:id="2"/>
      <w:r>
        <w:rPr>
          <w:rFonts w:ascii="Carlito" w:hAnsi="Carlito"/>
          <w:b/>
          <w:bCs/>
          <w:i w:val="false"/>
          <w:iCs w:val="false"/>
        </w:rPr>
        <w:tab/>
      </w:r>
      <w:r>
        <w:rPr>
          <w:rFonts w:ascii="Carlito" w:hAnsi="Carlito"/>
          <w:i w:val="false"/>
          <w:iCs w:val="false"/>
        </w:rPr>
        <w:t>não produzir os resultados acordados, deixar de executar, ou não executar com a qualidade mínima exigida as atividades contratadas; ou</w:t>
      </w:r>
    </w:p>
    <w:p>
      <w:pPr>
        <w:pStyle w:val="Nivel4"/>
        <w:widowControl/>
        <w:bidi w:val="0"/>
        <w:spacing w:lineRule="auto" w:line="240" w:before="120" w:after="288"/>
        <w:ind w:left="850" w:right="0" w:hanging="0"/>
        <w:jc w:val="both"/>
        <w:rPr>
          <w:rFonts w:ascii="Carlito" w:hAnsi="Carlito"/>
        </w:rPr>
      </w:pPr>
      <w:r>
        <w:rPr>
          <w:rFonts w:ascii="Carlito" w:hAnsi="Carlito"/>
          <w:b/>
          <w:bCs/>
          <w:i w:val="false"/>
          <w:iCs w:val="false"/>
        </w:rPr>
        <w:t>15.2.2.</w:t>
        <w:tab/>
      </w:r>
      <w:r>
        <w:rPr>
          <w:rFonts w:ascii="Carlito" w:hAnsi="Carlito"/>
          <w:i w:val="false"/>
          <w:iCs w:val="false"/>
        </w:rPr>
        <w:t>deixar de utilizar materiais e recursos humanos exigidos para a execução do serviço, ou utilizá-los com qualidade ou quantidade inferior à demandada.</w:t>
      </w:r>
    </w:p>
    <w:p>
      <w:pPr>
        <w:pStyle w:val="Nvel2Red"/>
        <w:widowControl/>
        <w:numPr>
          <w:ilvl w:val="0"/>
          <w:numId w:val="0"/>
        </w:numPr>
        <w:bidi w:val="0"/>
        <w:spacing w:lineRule="auto" w:line="240" w:before="120" w:after="288"/>
        <w:ind w:left="850" w:right="0" w:hanging="0"/>
        <w:jc w:val="both"/>
        <w:rPr>
          <w:rFonts w:ascii="Carlito" w:hAnsi="Carlito"/>
        </w:rPr>
      </w:pPr>
      <w:r>
        <w:rPr>
          <w:rFonts w:ascii="Carlito" w:hAnsi="Carlito"/>
          <w:b/>
          <w:bCs/>
          <w:i w:val="false"/>
          <w:iCs w:val="false"/>
          <w:color w:val="000000"/>
        </w:rPr>
        <w:t>15.2.3.</w:t>
        <w:tab/>
      </w:r>
      <w:commentRangeStart w:id="17"/>
      <w:r>
        <w:rPr>
          <w:rFonts w:ascii="Carlito" w:hAnsi="Carlito"/>
          <w:i w:val="false"/>
          <w:iCs w:val="false"/>
          <w:color w:val="000000"/>
        </w:rPr>
        <w:t>A utilização do IMR não impede a aplicação concomitante de outros mecanismos para a avaliação da prestação dos serviços.</w:t>
      </w:r>
      <w:commentRangeEnd w:id="17"/>
      <w:r>
        <w:commentReference w:id="17"/>
      </w:r>
      <w:r>
        <w:rPr>
          <w:rFonts w:ascii="Carlito" w:hAnsi="Carlito"/>
          <w:i w:val="false"/>
          <w:iCs w:val="false"/>
          <w:color w:val="000000"/>
        </w:rPr>
      </w:r>
    </w:p>
    <w:p>
      <w:pPr>
        <w:pStyle w:val="Nvel2Red"/>
        <w:widowControl/>
        <w:bidi w:val="0"/>
        <w:spacing w:lineRule="auto" w:line="240" w:before="120" w:after="288"/>
        <w:ind w:left="850" w:right="0" w:hanging="0"/>
        <w:jc w:val="both"/>
        <w:rPr>
          <w:rFonts w:ascii="Carlito" w:hAnsi="Carlito"/>
        </w:rPr>
      </w:pPr>
      <w:r>
        <w:rPr>
          <w:rFonts w:ascii="Carlito" w:hAnsi="Carlito"/>
          <w:b/>
          <w:bCs/>
          <w:i w:val="false"/>
          <w:iCs w:val="false"/>
          <w:color w:val="000000"/>
        </w:rPr>
        <w:t>15.2.4.</w:t>
        <w:tab/>
      </w:r>
      <w:r>
        <w:rPr>
          <w:rFonts w:ascii="Carlito" w:hAnsi="Carlito"/>
          <w:i w:val="false"/>
          <w:iCs w:val="false"/>
          <w:color w:val="000000"/>
        </w:rPr>
        <w:t>A aferição da execução contratual para fins de pagamento considerará a apresentação da apólice de seguro para todos os veículos constantes na tabela do item 1, em conformidade com as regras deste TERMO DE REFERÊNCIA..</w:t>
      </w:r>
    </w:p>
    <w:p>
      <w:pPr>
        <w:pStyle w:val="Nvel2Red"/>
        <w:widowControl/>
        <w:bidi w:val="0"/>
        <w:spacing w:lineRule="auto" w:line="240" w:before="120" w:after="288"/>
        <w:ind w:left="850" w:right="0" w:hanging="0"/>
        <w:jc w:val="both"/>
        <w:rPr>
          <w:rFonts w:ascii="Carlito" w:hAnsi="Carlito"/>
        </w:rPr>
      </w:pPr>
      <w:r>
        <w:rPr>
          <w:rFonts w:ascii="Carlito" w:hAnsi="Carlito"/>
          <w:b/>
          <w:bCs/>
          <w:i w:val="false"/>
          <w:iCs w:val="false"/>
          <w:color w:val="000000"/>
        </w:rPr>
        <w:t>15.2.5.</w:t>
        <w:tab/>
      </w:r>
      <w:r>
        <w:rPr>
          <w:rFonts w:ascii="Carlito" w:hAnsi="Carlito"/>
          <w:i w:val="false"/>
          <w:iCs w:val="false"/>
          <w:color w:val="000000"/>
        </w:rPr>
        <w:t>A apólice apresentada em desacordo com o estabelecido neste documento, no contrato ou caso ocorra qualquer circunstância que desaconselhe o pagamento, a apólice será devolvida à Contratada e, nesse caso, o prazo de pagamento será interrompido e reiniciado a partir da respectiva regularização.</w:t>
      </w:r>
      <w:r>
        <w:rPr/>
        <w:commentReference w:id="18"/>
      </w:r>
    </w:p>
    <w:p>
      <w:pPr>
        <w:pStyle w:val="Nvel1SemNum"/>
        <w:spacing w:lineRule="auto" w:line="240" w:before="120" w:after="288"/>
        <w:ind w:left="0" w:hanging="0"/>
        <w:rPr>
          <w:rFonts w:ascii="Carlito" w:hAnsi="Carlito"/>
        </w:rPr>
      </w:pPr>
      <w:r>
        <w:rPr>
          <w:rFonts w:ascii="Carlito" w:hAnsi="Carlito"/>
          <w:i w:val="false"/>
          <w:iCs w:val="false"/>
          <w:color w:val="auto"/>
          <w:sz w:val="24"/>
          <w:szCs w:val="24"/>
          <w:lang w:eastAsia="en-US"/>
        </w:rPr>
        <w:t>16.</w:t>
        <w:tab/>
        <w:t>Do recebimento</w:t>
      </w:r>
    </w:p>
    <w:p>
      <w:pPr>
        <w:pStyle w:val="Nivel2"/>
        <w:widowControl/>
        <w:bidi w:val="0"/>
        <w:spacing w:lineRule="auto" w:line="240" w:before="120" w:after="288"/>
        <w:ind w:left="0" w:right="0" w:firstLine="567"/>
        <w:jc w:val="both"/>
        <w:rPr/>
      </w:pPr>
      <w:r>
        <w:rPr>
          <w:rFonts w:ascii="Carlito" w:hAnsi="Carlito"/>
          <w:b/>
          <w:bCs/>
          <w:i w:val="false"/>
          <w:iCs w:val="false"/>
          <w:lang w:eastAsia="en-US"/>
        </w:rPr>
        <w:t>16.1.</w:t>
        <w:tab/>
      </w:r>
      <w:commentRangeStart w:id="19"/>
      <w:r>
        <w:rPr>
          <w:rFonts w:ascii="Carlito" w:hAnsi="Carlito"/>
          <w:i w:val="false"/>
          <w:iCs w:val="false"/>
          <w:lang w:eastAsia="en-US"/>
        </w:rPr>
        <w:t>Os serviços serão recebidos provisoriamente, no prazo de 05 (cinco) dias, pelos fiscais técnico e administrativo, mediante termos detalhados, quando verificado o cumprimento das exigências de caráter técnico e administrativo. (</w:t>
      </w:r>
      <w:r>
        <w:fldChar w:fldCharType="begin"/>
      </w:r>
      <w:r>
        <w:rPr>
          <w:rStyle w:val="LinkdaInternet"/>
          <w:i w:val="false"/>
          <w:iCs w:val="false"/>
          <w:rFonts w:ascii="Carlito" w:hAnsi="Carlito"/>
        </w:rPr>
        <w:instrText> HYPERLINK "http://www.planalto.gov.br/ccivil_03/_ato2019-2022/2021/lei/L14133.htm" \l "art140"</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140, I, a , da Lei nº 14.133</w:t>
      </w:r>
      <w:r>
        <w:rPr>
          <w:rStyle w:val="LinkdaInternet"/>
          <w:i w:val="false"/>
          <w:iCs w:val="false"/>
          <w:rFonts w:ascii="Carlito" w:hAnsi="Carlito"/>
        </w:rPr>
        <w:fldChar w:fldCharType="end"/>
      </w:r>
      <w:r>
        <w:rPr>
          <w:rFonts w:ascii="Carlito" w:hAnsi="Carlito"/>
          <w:i w:val="false"/>
          <w:iCs w:val="false"/>
          <w:lang w:eastAsia="en-US"/>
        </w:rPr>
        <w:t xml:space="preserve"> e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Arts. 22, X e 23, X do Decreto nº 11.246, de 2022</w:t>
      </w:r>
      <w:r>
        <w:rPr>
          <w:rStyle w:val="LinkdaInternet"/>
          <w:i w:val="false"/>
          <w:iCs w:val="false"/>
          <w:rFonts w:ascii="Carlito" w:hAnsi="Carlito"/>
        </w:rPr>
        <w:fldChar w:fldCharType="end"/>
      </w:r>
      <w:r>
        <w:rPr>
          <w:rFonts w:ascii="Carlito" w:hAnsi="Carlito"/>
          <w:i w:val="false"/>
          <w:iCs w:val="false"/>
          <w:lang w:eastAsia="en-US"/>
        </w:rPr>
        <w:t>).</w:t>
      </w:r>
      <w:commentRangeEnd w:id="19"/>
      <w:r>
        <w:commentReference w:id="19"/>
      </w:r>
      <w:r>
        <w:rPr>
          <w:rFonts w:ascii="Carlito" w:hAnsi="Carlito"/>
          <w:i w:val="false"/>
          <w:iCs w:val="false"/>
          <w:lang w:eastAsia="en-US"/>
        </w:rPr>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16.2.</w:t>
        <w:tab/>
      </w:r>
      <w:r>
        <w:rPr>
          <w:rFonts w:ascii="Carlito" w:hAnsi="Carlito"/>
          <w:i w:val="false"/>
          <w:iCs w:val="false"/>
          <w:lang w:eastAsia="en-US"/>
        </w:rPr>
        <w:t>O prazo da disposição acima será contado do recebimento de comunicação de cobrança oriunda do contratado com a comprovação da prestação dos serviços a que se referem a parcela a ser paga.</w:t>
      </w:r>
    </w:p>
    <w:p>
      <w:pPr>
        <w:pStyle w:val="Nivel3"/>
        <w:widowControl/>
        <w:bidi w:val="0"/>
        <w:spacing w:lineRule="auto" w:line="240" w:before="120" w:after="288"/>
        <w:ind w:left="0" w:right="0" w:firstLine="567"/>
        <w:jc w:val="both"/>
        <w:rPr/>
      </w:pPr>
      <w:r>
        <w:rPr>
          <w:rFonts w:ascii="Carlito" w:hAnsi="Carlito"/>
          <w:b/>
          <w:bCs/>
          <w:i w:val="false"/>
          <w:iCs w:val="false"/>
          <w:lang w:eastAsia="en-US"/>
        </w:rPr>
        <w:t>16.3.</w:t>
        <w:tab/>
      </w:r>
      <w:r>
        <w:rPr>
          <w:rFonts w:ascii="Carlito" w:hAnsi="Carlito"/>
          <w:i w:val="false"/>
          <w:iCs w:val="false"/>
          <w:lang w:eastAsia="en-US"/>
        </w:rPr>
        <w:t>O fiscal técnico do contrato realizará o recebimento provisório do objeto do contrato mediante termo detalhado que comprove o cumprimento das exigências de caráter técnico. (</w:t>
      </w:r>
      <w:r>
        <w:fldChar w:fldCharType="begin"/>
      </w:r>
      <w:r>
        <w:rPr>
          <w:rStyle w:val="LinkdaInternet"/>
          <w:i w:val="false"/>
          <w:iCs w:val="false"/>
          <w:rFonts w:ascii="Carlito" w:hAnsi="Carlito"/>
        </w:rPr>
        <w:instrText> HYPERLINK "http://www.planalto.gov.br/ccivil_03/_ato2019-2022/2022/decreto/D11246.htm" \l "art22"</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22, X, Decreto nº 11.246, de 2022</w:t>
      </w:r>
      <w:r>
        <w:rPr>
          <w:rStyle w:val="LinkdaInternet"/>
          <w:i w:val="false"/>
          <w:iCs w:val="false"/>
          <w:rFonts w:ascii="Carlito" w:hAnsi="Carlito"/>
        </w:rPr>
        <w:fldChar w:fldCharType="end"/>
      </w:r>
      <w:r>
        <w:rPr>
          <w:rFonts w:ascii="Carlito" w:hAnsi="Carlito"/>
          <w:i w:val="false"/>
          <w:iCs w:val="false"/>
          <w:lang w:eastAsia="en-US"/>
        </w:rPr>
        <w:t>).</w:t>
      </w:r>
    </w:p>
    <w:p>
      <w:pPr>
        <w:pStyle w:val="Nivel3"/>
        <w:widowControl/>
        <w:bidi w:val="0"/>
        <w:spacing w:lineRule="auto" w:line="240" w:before="120" w:after="288"/>
        <w:ind w:left="0" w:right="0" w:firstLine="567"/>
        <w:jc w:val="both"/>
        <w:rPr/>
      </w:pPr>
      <w:r>
        <w:rPr>
          <w:rFonts w:ascii="Carlito" w:hAnsi="Carlito"/>
          <w:b/>
          <w:bCs/>
          <w:i w:val="false"/>
          <w:iCs w:val="false"/>
          <w:lang w:eastAsia="en-US"/>
        </w:rPr>
        <w:t>16.4.</w:t>
        <w:tab/>
      </w:r>
      <w:r>
        <w:rPr>
          <w:rFonts w:ascii="Carlito" w:hAnsi="Carlito"/>
          <w:i w:val="false"/>
          <w:iCs w:val="false"/>
          <w:lang w:eastAsia="en-US"/>
        </w:rPr>
        <w:t>O fiscal administrativo do contrato realizará o recebimento provisório do objeto do contrato mediante termo detalhado que comprove o cumprimento das exigências de caráter administrativo. (</w:t>
      </w:r>
      <w:r>
        <w:fldChar w:fldCharType="begin"/>
      </w:r>
      <w:r>
        <w:rPr>
          <w:rStyle w:val="LinkdaInternet"/>
          <w:i w:val="false"/>
          <w:iCs w:val="false"/>
          <w:rFonts w:ascii="Carlito" w:hAnsi="Carlito"/>
        </w:rPr>
        <w:instrText> HYPERLINK "http://www.planalto.gov.br/ccivil_03/_ato2019-2022/2022/decreto/D11246.htm" \l "art23"</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23, X, Decreto nº 11.246, de 2022</w:t>
      </w:r>
      <w:r>
        <w:rPr>
          <w:rStyle w:val="LinkdaInternet"/>
          <w:i w:val="false"/>
          <w:iCs w:val="false"/>
          <w:rFonts w:ascii="Carlito" w:hAnsi="Carlito"/>
        </w:rPr>
        <w:fldChar w:fldCharType="end"/>
      </w:r>
      <w:r>
        <w:rPr>
          <w:rFonts w:ascii="Carlito" w:hAnsi="Carlito"/>
          <w:i w:val="false"/>
          <w:iCs w:val="false"/>
          <w:lang w:eastAsia="en-US"/>
        </w:rPr>
        <w:t>)</w:t>
      </w:r>
    </w:p>
    <w:p>
      <w:pPr>
        <w:pStyle w:val="Nivel3"/>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16.5.</w:t>
        <w:tab/>
      </w:r>
      <w:r>
        <w:rPr>
          <w:rFonts w:ascii="Carlito" w:hAnsi="Carlito"/>
          <w:i w:val="false"/>
          <w:iCs w:val="false"/>
          <w:lang w:eastAsia="en-US"/>
        </w:rPr>
        <w:t>O fiscal setorial do contrato, quando houver, realizará o recebimento provisório sob o ponto de vista técnico e administrativo.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16.6.</w:t>
        <w:tab/>
      </w:r>
      <w:r>
        <w:rPr>
          <w:rFonts w:ascii="Carlito" w:hAnsi="Carlito"/>
          <w:i w:val="false"/>
          <w:iCs w:val="false"/>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3"/>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16.7.</w:t>
        <w:tab/>
      </w:r>
      <w:r>
        <w:rPr>
          <w:rFonts w:ascii="Carlito" w:hAnsi="Carlito"/>
          <w:i w:val="false"/>
          <w:iCs w:val="false"/>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3"/>
        <w:widowControl/>
        <w:bidi w:val="0"/>
        <w:spacing w:lineRule="auto" w:line="240" w:before="120" w:after="288"/>
        <w:ind w:left="0" w:right="0" w:firstLine="567"/>
        <w:jc w:val="both"/>
        <w:rPr/>
      </w:pPr>
      <w:r>
        <w:rPr>
          <w:rFonts w:ascii="Carlito" w:hAnsi="Carlito"/>
          <w:b/>
          <w:bCs/>
          <w:i w:val="false"/>
          <w:iCs w:val="false"/>
          <w:lang w:eastAsia="en-US"/>
        </w:rPr>
        <w:t>16.8.</w:t>
        <w:tab/>
      </w:r>
      <w:r>
        <w:rPr>
          <w:rFonts w:ascii="Carlito" w:hAnsi="Carlito"/>
          <w:i w:val="false"/>
          <w:iCs w:val="false"/>
          <w:lang w:eastAsia="en-US"/>
        </w:rPr>
        <w:t>A</w:t>
        <w:tab/>
        <w:t>fiscalização não efetuará o ateste da última e/ou única medição de serviços até que sejam sanadas todas as eventuais pendências que possam vir a ser apontadas no Recebimento Provisório. (</w:t>
      </w:r>
      <w:r>
        <w:fldChar w:fldCharType="begin"/>
      </w:r>
      <w:r>
        <w:rPr>
          <w:rStyle w:val="LinkdaInternet"/>
          <w:i w:val="false"/>
          <w:iCs w:val="false"/>
          <w:rFonts w:ascii="Carlito" w:hAnsi="Carlito"/>
        </w:rPr>
        <w:instrText> HYPERLINK "http://www.planalto.gov.br/ccivil_03/_ato2019-2022/2021/lei/L14133.htm" \l "art119"</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119 c/c art. 140 da Lei nº 14133, de 2021</w:t>
      </w:r>
      <w:r>
        <w:rPr>
          <w:rStyle w:val="LinkdaInternet"/>
          <w:i w:val="false"/>
          <w:iCs w:val="false"/>
          <w:rFonts w:ascii="Carlito" w:hAnsi="Carlito"/>
        </w:rPr>
        <w:fldChar w:fldCharType="end"/>
      </w:r>
      <w:r>
        <w:rPr>
          <w:rFonts w:ascii="Carlito" w:hAnsi="Carlito"/>
          <w:i w:val="false"/>
          <w:iCs w:val="false"/>
          <w:lang w:eastAsia="en-US"/>
        </w:rPr>
        <w:t>)</w:t>
      </w:r>
    </w:p>
    <w:p>
      <w:pPr>
        <w:pStyle w:val="Nivel3"/>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16.9.</w:t>
        <w:tab/>
      </w:r>
      <w:commentRangeStart w:id="20"/>
      <w:r>
        <w:rPr>
          <w:rFonts w:ascii="Carlito" w:hAnsi="Carlito"/>
          <w:i w:val="false"/>
          <w:iCs w:val="false"/>
          <w:lang w:eastAsia="en-US"/>
        </w:rPr>
        <w:t>O recebimento provisório também ficará sujeito, quando cabível, à conclusão de todos os testes de campo e à entrega dos Manuais e Instruções exigíveis.</w:t>
      </w:r>
      <w:commentRangeEnd w:id="20"/>
      <w:r>
        <w:commentReference w:id="20"/>
      </w:r>
      <w:r>
        <w:rPr>
          <w:rFonts w:ascii="Carlito" w:hAnsi="Carlito"/>
          <w:i w:val="false"/>
          <w:iCs w:val="false"/>
          <w:lang w:eastAsia="en-US"/>
        </w:rPr>
      </w:r>
    </w:p>
    <w:p>
      <w:pPr>
        <w:pStyle w:val="Nivel3"/>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16.10.</w:t>
        <w:tab/>
      </w:r>
      <w:r>
        <w:rPr>
          <w:rFonts w:ascii="Carlito" w:hAnsi="Carlito"/>
          <w:i w:val="false"/>
          <w:iCs w:val="false"/>
          <w:lang w:eastAsia="en-US"/>
        </w:rPr>
        <w:t>Os serviços poderão ser rejeitados, no todo ou em parte, quando em desacordo com as especificações constantes neste Termo de Referência e na proposta, sem prejuízo da aplicação das penalidades.</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16.11.</w:t>
        <w:tab/>
      </w:r>
      <w:r>
        <w:rPr>
          <w:rFonts w:ascii="Carlito" w:hAnsi="Carlito"/>
          <w:i w:val="false"/>
          <w:iCs w:val="false"/>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lang w:eastAsia="en-US"/>
        </w:rPr>
        <w:t>16.12.</w:t>
        <w:tab/>
      </w:r>
      <w:commentRangeStart w:id="21"/>
      <w:r>
        <w:rPr>
          <w:rFonts w:ascii="Carlito" w:hAnsi="Carlito"/>
          <w:i w:val="false"/>
          <w:iCs w:val="false"/>
          <w:color w:val="000000"/>
          <w:lang w:eastAsia="en-US"/>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2"/>
        <w:widowControl/>
        <w:bidi w:val="0"/>
        <w:spacing w:lineRule="auto" w:line="240" w:before="120" w:after="288"/>
        <w:ind w:left="850" w:right="0" w:hanging="0"/>
        <w:jc w:val="both"/>
        <w:rPr/>
      </w:pPr>
      <w:bookmarkStart w:id="3" w:name="__DdeLink__29313_3172998283"/>
      <w:r>
        <w:rPr>
          <w:rFonts w:ascii="Carlito" w:hAnsi="Carlito"/>
          <w:b/>
          <w:bCs/>
          <w:i w:val="false"/>
          <w:iCs w:val="false"/>
          <w:color w:val="000000"/>
          <w:lang w:eastAsia="en-US"/>
        </w:rPr>
        <w:t>16.12.1.</w:t>
      </w:r>
      <w:bookmarkEnd w:id="3"/>
      <w:r>
        <w:rPr>
          <w:rFonts w:ascii="Carlito" w:hAnsi="Carlito"/>
          <w:b/>
          <w:bCs/>
          <w:i w:val="false"/>
          <w:iCs w:val="false"/>
          <w:color w:val="000000"/>
          <w:lang w:eastAsia="en-US"/>
        </w:rPr>
        <w:tab/>
      </w:r>
      <w:r>
        <w:rPr>
          <w:rFonts w:ascii="Carlito" w:hAnsi="Carlito"/>
          <w:i w:val="false"/>
          <w:iCs w:val="false"/>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fldChar w:fldCharType="begin"/>
      </w:r>
      <w:r>
        <w:rPr>
          <w:rStyle w:val="LinkdaInternet"/>
          <w:i w:val="false"/>
          <w:iCs w:val="false"/>
          <w:rFonts w:ascii="Carlito" w:hAnsi="Carlito"/>
        </w:rPr>
        <w:instrText> HYPERLINK "http://www.planalto.gov.br/ccivil_03/_ato2019-2022/2022/decreto/D11246.htm" \l "art21"</w:instrText>
      </w:r>
      <w:r>
        <w:rPr>
          <w:rStyle w:val="LinkdaInternet"/>
          <w:i w:val="false"/>
          <w:iCs w:val="false"/>
          <w:rFonts w:ascii="Carlito" w:hAnsi="Carlito"/>
        </w:rPr>
        <w:fldChar w:fldCharType="separate"/>
      </w:r>
      <w:r>
        <w:rPr>
          <w:rStyle w:val="LinkdaInternet"/>
          <w:rFonts w:ascii="Carlito" w:hAnsi="Carlito"/>
          <w:i w:val="false"/>
          <w:iCs w:val="false"/>
          <w:lang w:eastAsia="en-US"/>
        </w:rPr>
        <w:t xml:space="preserve">art. 21, VIII, </w:t>
      </w:r>
      <w:r>
        <w:rPr>
          <w:rStyle w:val="LinkdaInternet"/>
          <w:i w:val="false"/>
          <w:iCs w:val="false"/>
          <w:rFonts w:ascii="Carlito" w:hAnsi="Carlito"/>
        </w:rPr>
        <w:fldChar w:fldCharType="end"/>
      </w:r>
      <w:r>
        <w:rPr>
          <w:rStyle w:val="LinkdaInternet"/>
          <w:rFonts w:ascii="Carlito" w:hAnsi="Carlito"/>
          <w:bCs/>
          <w:i w:val="false"/>
          <w:iCs w:val="false"/>
          <w:lang w:eastAsia="en-US"/>
        </w:rPr>
        <w:t>Decreto nº 11.246, de 2022</w:t>
      </w:r>
      <w:r>
        <w:rPr>
          <w:rFonts w:ascii="Carlito" w:hAnsi="Carlito"/>
          <w:i w:val="false"/>
          <w:iCs w:val="false"/>
          <w:lang w:eastAsia="en-US"/>
        </w:rPr>
        <w:t>).</w:t>
      </w:r>
    </w:p>
    <w:p>
      <w:pPr>
        <w:pStyle w:val="Nivel3"/>
        <w:widowControl/>
        <w:bidi w:val="0"/>
        <w:spacing w:lineRule="auto" w:line="240" w:before="120" w:after="288"/>
        <w:ind w:left="850" w:right="0" w:hanging="0"/>
        <w:jc w:val="both"/>
        <w:rPr>
          <w:rFonts w:ascii="Carlito" w:hAnsi="Carlito"/>
        </w:rPr>
      </w:pPr>
      <w:r>
        <w:rPr>
          <w:rFonts w:ascii="Carlito" w:hAnsi="Carlito"/>
          <w:b/>
          <w:bCs/>
          <w:i w:val="false"/>
          <w:iCs w:val="false"/>
          <w:color w:val="000000"/>
          <w:lang w:eastAsia="en-US"/>
        </w:rPr>
        <w:t>16.12.2.</w:t>
        <w:tab/>
      </w:r>
      <w:r>
        <w:rPr>
          <w:rFonts w:ascii="Carlito" w:hAnsi="Carlito"/>
          <w:i w:val="false"/>
          <w:iCs w:val="false"/>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3"/>
        <w:widowControl/>
        <w:bidi w:val="0"/>
        <w:spacing w:lineRule="auto" w:line="240" w:before="120" w:after="288"/>
        <w:ind w:left="850" w:right="0" w:hanging="0"/>
        <w:jc w:val="both"/>
        <w:rPr>
          <w:rFonts w:ascii="Carlito" w:hAnsi="Carlito"/>
        </w:rPr>
      </w:pPr>
      <w:r>
        <w:rPr>
          <w:rFonts w:ascii="Carlito" w:hAnsi="Carlito"/>
          <w:b/>
          <w:bCs/>
          <w:i w:val="false"/>
          <w:iCs w:val="false"/>
          <w:color w:val="000000"/>
          <w:lang w:eastAsia="en-US"/>
        </w:rPr>
        <w:t>16.12.3.</w:t>
        <w:tab/>
      </w:r>
      <w:r>
        <w:rPr>
          <w:rFonts w:ascii="Carlito" w:hAnsi="Carlito"/>
          <w:i w:val="false"/>
          <w:iCs w:val="false"/>
          <w:lang w:eastAsia="en-US"/>
        </w:rPr>
        <w:t>Emitir Termo Circunstanciado para efeito de recebimento definitivo dos serviços prestados, com base nos relatórios e documentações apresentadas; e</w:t>
      </w:r>
    </w:p>
    <w:p>
      <w:pPr>
        <w:pStyle w:val="Nivel3"/>
        <w:widowControl/>
        <w:bidi w:val="0"/>
        <w:spacing w:lineRule="auto" w:line="240" w:before="120" w:after="288"/>
        <w:ind w:left="850" w:right="0" w:hanging="0"/>
        <w:jc w:val="both"/>
        <w:rPr>
          <w:rFonts w:ascii="Carlito" w:hAnsi="Carlito"/>
        </w:rPr>
      </w:pPr>
      <w:r>
        <w:rPr>
          <w:rFonts w:ascii="Carlito" w:hAnsi="Carlito"/>
          <w:b/>
          <w:bCs/>
          <w:i w:val="false"/>
          <w:iCs w:val="false"/>
          <w:color w:val="000000"/>
          <w:lang w:eastAsia="en-US"/>
        </w:rPr>
        <w:t>16.12.4.</w:t>
        <w:tab/>
      </w:r>
      <w:r>
        <w:rPr>
          <w:rFonts w:ascii="Carlito" w:hAnsi="Carlito"/>
          <w:i w:val="false"/>
          <w:iCs w:val="false"/>
          <w:lang w:eastAsia="en-US"/>
        </w:rPr>
        <w:t>Comunicar a empresa para que emita a Nota Fiscal ou Fatura, com o valor exato dimensionado pela fiscalização.</w:t>
      </w:r>
    </w:p>
    <w:p>
      <w:pPr>
        <w:pStyle w:val="Nivel3"/>
        <w:widowControl/>
        <w:tabs>
          <w:tab w:val="clear" w:pos="708"/>
          <w:tab w:val="left" w:pos="231" w:leader="none"/>
        </w:tabs>
        <w:bidi w:val="0"/>
        <w:spacing w:lineRule="auto" w:line="240" w:before="120" w:after="288"/>
        <w:ind w:left="0" w:right="0" w:firstLine="567"/>
        <w:jc w:val="both"/>
        <w:rPr>
          <w:rFonts w:ascii="Carlito" w:hAnsi="Carlito"/>
        </w:rPr>
      </w:pPr>
      <w:r>
        <w:rPr>
          <w:rFonts w:ascii="Carlito" w:hAnsi="Carlito"/>
          <w:b/>
          <w:bCs/>
          <w:i w:val="false"/>
          <w:iCs w:val="false"/>
          <w:lang w:eastAsia="en-US"/>
        </w:rPr>
        <w:t>17.1.</w:t>
        <w:tab/>
      </w:r>
      <w:r>
        <w:rPr>
          <w:rFonts w:ascii="Carlito" w:hAnsi="Carlito"/>
          <w:bCs/>
          <w:i w:val="false"/>
          <w:iCs w:val="false"/>
          <w:lang w:eastAsia="en-US"/>
        </w:rPr>
        <w:t>Enviar a documentação pertinente ao setor de contratos para a formalização dos procedimentos de liquidação e pagamento, no valor dimensionado pela fiscalização e gestão.</w:t>
      </w:r>
      <w:commentRangeEnd w:id="21"/>
      <w:r>
        <w:commentReference w:id="21"/>
      </w:r>
      <w:r>
        <w:rPr>
          <w:rFonts w:ascii="Carlito" w:hAnsi="Carlito"/>
          <w:bCs/>
          <w:i w:val="false"/>
          <w:iCs w:val="false"/>
          <w:lang w:eastAsia="en-US"/>
        </w:rPr>
      </w:r>
    </w:p>
    <w:p>
      <w:pPr>
        <w:pStyle w:val="Nivel2"/>
        <w:widowControl/>
        <w:bidi w:val="0"/>
        <w:spacing w:lineRule="auto" w:line="240" w:before="120" w:after="288"/>
        <w:ind w:left="0" w:right="0" w:firstLine="567"/>
        <w:jc w:val="both"/>
        <w:rPr/>
      </w:pPr>
      <w:r>
        <w:rPr>
          <w:rFonts w:ascii="Carlito" w:hAnsi="Carlito"/>
          <w:b/>
          <w:bCs/>
          <w:i w:val="false"/>
          <w:iCs w:val="false"/>
          <w:lang w:eastAsia="en-US"/>
        </w:rPr>
        <w:t>17.2.</w:t>
        <w:tab/>
      </w:r>
      <w:r>
        <w:rPr>
          <w:rFonts w:ascii="Carlito" w:hAnsi="Carlito"/>
          <w:i w:val="false"/>
          <w:iCs w:val="false"/>
          <w:lang w:eastAsia="en-US"/>
        </w:rPr>
        <w:t xml:space="preserve">No caso de controvérsia sobre a execução do objeto, quanto à dimensão, qualidade e quantidade, deverá ser observado o teor do </w:t>
      </w:r>
      <w:r>
        <w:fldChar w:fldCharType="begin"/>
      </w:r>
      <w:r>
        <w:rPr>
          <w:rStyle w:val="LinkdaInternet"/>
          <w:i w:val="false"/>
          <w:iCs w:val="false"/>
          <w:rFonts w:ascii="Carlito" w:hAnsi="Carlito"/>
        </w:rPr>
        <w:instrText> HYPERLINK "http://www.planalto.gov.br/ccivil_03/_ato2019-2022/2021/lei/L14133.htm" \l "art143"</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143 da Lei nº 14.133, de 2021</w:t>
      </w:r>
      <w:r>
        <w:rPr>
          <w:rStyle w:val="LinkdaInternet"/>
          <w:i w:val="false"/>
          <w:iCs w:val="false"/>
          <w:rFonts w:ascii="Carlito" w:hAnsi="Carlito"/>
        </w:rPr>
        <w:fldChar w:fldCharType="end"/>
      </w:r>
      <w:r>
        <w:rPr>
          <w:rFonts w:ascii="Carlito" w:hAnsi="Carlito"/>
          <w:i w:val="false"/>
          <w:iCs w:val="false"/>
          <w:lang w:eastAsia="en-US"/>
        </w:rPr>
        <w:t>, comunicando-se à empresa para emissão de Nota Fiscal no que pertine à parcela incontroversa da execução do objeto, para efeito de liquidação e pagamento.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17.3.</w:t>
        <w:tab/>
      </w:r>
      <w:r>
        <w:rPr>
          <w:rFonts w:ascii="Carlito" w:hAnsi="Carlito"/>
          <w:i w:val="false"/>
          <w:iCs w:val="false"/>
          <w:lang w:eastAsia="en-US"/>
        </w:rPr>
        <w:t>Nenhum prazo de recebimento ocorrerá enquanto pendente a solução, pelo contratado, de inconsistências verificadas na execução do objeto ou no instrumento de cobrança.</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lang w:eastAsia="en-US"/>
        </w:rPr>
        <w:t>17.4.</w:t>
        <w:tab/>
      </w:r>
      <w:r>
        <w:rPr>
          <w:rFonts w:ascii="Carlito" w:hAnsi="Carlito"/>
          <w:i w:val="false"/>
          <w:iCs w:val="false"/>
          <w:color w:val="auto"/>
          <w:lang w:eastAsia="en-US"/>
        </w:rPr>
        <w:t>O recebimento provisório ou definitivo não excluirá a responsabilidade civil pela solidez e pela segurança do serviço nem a responsabilidade ético-profissional pela perfeita execução do contrato.</w:t>
      </w:r>
    </w:p>
    <w:p>
      <w:pPr>
        <w:pStyle w:val="Nvel1SemNum"/>
        <w:spacing w:lineRule="auto" w:line="240" w:before="120" w:after="288"/>
        <w:ind w:left="0" w:hanging="0"/>
        <w:rPr>
          <w:sz w:val="24"/>
          <w:szCs w:val="24"/>
        </w:rPr>
      </w:pPr>
      <w:r>
        <w:rPr>
          <w:rFonts w:ascii="Carlito" w:hAnsi="Carlito"/>
          <w:i w:val="false"/>
          <w:iCs w:val="false"/>
          <w:color w:val="auto"/>
          <w:sz w:val="24"/>
          <w:szCs w:val="24"/>
        </w:rPr>
        <w:t>18.</w:t>
        <w:tab/>
        <w:t>Liquidação</w:t>
      </w:r>
    </w:p>
    <w:p>
      <w:pPr>
        <w:pStyle w:val="Nivel2"/>
        <w:widowControl/>
        <w:bidi w:val="0"/>
        <w:spacing w:lineRule="auto" w:line="240" w:before="120" w:after="288"/>
        <w:ind w:left="0" w:right="0" w:firstLine="567"/>
        <w:jc w:val="both"/>
        <w:rPr/>
      </w:pPr>
      <w:r>
        <w:rPr>
          <w:rFonts w:ascii="Carlito" w:hAnsi="Carlito"/>
          <w:b/>
          <w:bCs/>
          <w:i w:val="false"/>
          <w:iCs w:val="false"/>
          <w:lang w:eastAsia="en-US"/>
        </w:rPr>
        <w:t>18.1.</w:t>
        <w:tab/>
      </w:r>
      <w:r>
        <w:rPr>
          <w:rFonts w:ascii="Carlito" w:hAnsi="Carlito"/>
          <w:i w:val="false"/>
          <w:iCs w:val="false"/>
        </w:rPr>
        <w:t xml:space="preserve">Recebida a Nota Fiscal ou documento de cobrança equivalente, correrá o prazo de dez dias úteis para fins de liquidação, na forma desta seção, prorrogáveis por igual período, nos termos do </w:t>
      </w:r>
      <w:hyperlink r:id="rId3">
        <w:r>
          <w:rPr>
            <w:rStyle w:val="LinkdaInternet"/>
            <w:rFonts w:ascii="Carlito" w:hAnsi="Carlito"/>
            <w:i w:val="false"/>
            <w:iCs w:val="false"/>
          </w:rPr>
          <w:t>art. 7º, §2º da Instrução Normativa SEGES/ME nº 77/2022</w:t>
        </w:r>
      </w:hyperlink>
      <w:r>
        <w:rPr>
          <w:rFonts w:ascii="Carlito" w:hAnsi="Carlito"/>
          <w:i w:val="false"/>
          <w:iCs w:val="false"/>
        </w:rPr>
        <w:t>.</w:t>
      </w:r>
    </w:p>
    <w:p>
      <w:pPr>
        <w:pStyle w:val="Nivel2"/>
        <w:widowControl/>
        <w:bidi w:val="0"/>
        <w:spacing w:lineRule="auto" w:line="240" w:before="120" w:after="288"/>
        <w:ind w:left="0" w:right="0" w:firstLine="567"/>
        <w:jc w:val="both"/>
        <w:rPr/>
      </w:pPr>
      <w:r>
        <w:rPr>
          <w:rFonts w:ascii="Carlito" w:hAnsi="Carlito"/>
          <w:b/>
          <w:bCs/>
          <w:i w:val="false"/>
          <w:iCs w:val="false"/>
          <w:lang w:eastAsia="en-US"/>
        </w:rPr>
        <w:t>18.2.</w:t>
        <w:tab/>
      </w:r>
      <w:r>
        <w:rPr>
          <w:rFonts w:ascii="Carlito" w:hAnsi="Carlito"/>
          <w:i w:val="false"/>
          <w:iCs w:val="false"/>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LinkdaInternet"/>
          <w:i w:val="false"/>
          <w:iCs w:val="false"/>
          <w:rFonts w:ascii="Carlito" w:hAnsi="Carlito"/>
        </w:rPr>
        <w:instrText> HYPERLINK "http://www.planalto.gov.br/ccivil_03/_ato2019-2022/2021/lei/L14133.htm" \l "art75"</w:instrText>
      </w:r>
      <w:r>
        <w:rPr>
          <w:rStyle w:val="LinkdaInternet"/>
          <w:i w:val="false"/>
          <w:iCs w:val="false"/>
          <w:rFonts w:ascii="Carlito" w:hAnsi="Carlito"/>
        </w:rPr>
        <w:fldChar w:fldCharType="separate"/>
      </w:r>
      <w:r>
        <w:rPr>
          <w:rStyle w:val="LinkdaInternet"/>
          <w:rFonts w:ascii="Carlito" w:hAnsi="Carlito"/>
          <w:i w:val="false"/>
          <w:iCs w:val="false"/>
        </w:rPr>
        <w:t>inciso II do art. 75 da Lei nº 14.133, de 2021</w:t>
      </w:r>
      <w:r>
        <w:rPr>
          <w:rStyle w:val="LinkdaInternet"/>
          <w:i w:val="false"/>
          <w:iCs w:val="false"/>
          <w:rFonts w:ascii="Carlito" w:hAnsi="Carlito"/>
        </w:rPr>
        <w:fldChar w:fldCharType="end"/>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18.3.</w:t>
        <w:tab/>
      </w:r>
      <w:r>
        <w:rPr>
          <w:rFonts w:ascii="Carlito" w:hAnsi="Carlito"/>
          <w:i w:val="false"/>
          <w:iCs w:val="false"/>
        </w:rPr>
        <w:t>Para fins de liquidação, o setor competente deve verificar se a Nota Fiscal ou Fatura apresentada expressa os elementos necessários e essenciais do documento, tais como:</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o prazo de validade;</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a data da emissão;</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os dados do contrato e do órgão contratante;</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o período respectivo de execução do contrato;</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o valor a pagar; e</w:t>
      </w:r>
    </w:p>
    <w:p>
      <w:pPr>
        <w:pStyle w:val="Nivel3"/>
        <w:numPr>
          <w:ilvl w:val="0"/>
          <w:numId w:val="1"/>
        </w:numPr>
        <w:spacing w:lineRule="auto" w:line="240" w:before="120" w:after="288"/>
        <w:ind w:left="851" w:firstLine="357"/>
        <w:rPr>
          <w:rFonts w:ascii="Carlito" w:hAnsi="Carlito"/>
        </w:rPr>
      </w:pPr>
      <w:r>
        <w:rPr>
          <w:rFonts w:ascii="Carlito" w:hAnsi="Carlito"/>
          <w:i w:val="false"/>
          <w:iCs w:val="false"/>
        </w:rPr>
        <w:t xml:space="preserve"> </w:t>
      </w:r>
      <w:r>
        <w:rPr>
          <w:rFonts w:ascii="Carlito" w:hAnsi="Carlito"/>
          <w:i w:val="false"/>
          <w:iCs w:val="false"/>
        </w:rPr>
        <w:t>eventual destaque do valor de retenções tributárias cabíveis.</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18.4.</w:t>
        <w:tab/>
      </w:r>
      <w:r>
        <w:rPr>
          <w:rFonts w:ascii="Carlito" w:hAnsi="Carlito"/>
          <w:i w:val="false"/>
          <w:iCs w:val="false"/>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widowControl/>
        <w:bidi w:val="0"/>
        <w:spacing w:lineRule="auto" w:line="240" w:before="120" w:after="288"/>
        <w:ind w:left="0" w:right="0" w:firstLine="567"/>
        <w:jc w:val="both"/>
        <w:rPr/>
      </w:pPr>
      <w:r>
        <w:rPr>
          <w:rFonts w:ascii="Carlito" w:hAnsi="Carlito"/>
          <w:b/>
          <w:bCs/>
          <w:i w:val="false"/>
          <w:iCs w:val="false"/>
          <w:lang w:eastAsia="en-US"/>
        </w:rPr>
        <w:t>18.5.</w:t>
        <w:tab/>
      </w:r>
      <w:r>
        <w:rPr>
          <w:rFonts w:ascii="Carlito" w:hAnsi="Carlito"/>
          <w:i w:val="false"/>
          <w:iCs w:val="false"/>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r>
        <w:fldChar w:fldCharType="begin"/>
      </w:r>
      <w:r>
        <w:rPr>
          <w:rStyle w:val="LinkdaInternet"/>
          <w:i w:val="false"/>
          <w:iCs w:val="false"/>
          <w:rFonts w:ascii="Carlito" w:hAnsi="Carlito"/>
        </w:rPr>
        <w:instrText> HYPERLINK "http://www.planalto.gov.br/ccivil_03/_ato2019-2022/2021/lei/L14133.htm" \l "art68"</w:instrText>
      </w:r>
      <w:r>
        <w:rPr>
          <w:rStyle w:val="LinkdaInternet"/>
          <w:i w:val="false"/>
          <w:iCs w:val="false"/>
          <w:rFonts w:ascii="Carlito" w:hAnsi="Carlito"/>
        </w:rPr>
        <w:fldChar w:fldCharType="separate"/>
      </w:r>
      <w:r>
        <w:rPr>
          <w:rStyle w:val="LinkdaInternet"/>
          <w:rFonts w:ascii="Carlito" w:hAnsi="Carlito"/>
          <w:i w:val="false"/>
          <w:iCs w:val="false"/>
        </w:rPr>
        <w:t>art. 68 da Lei nº 14.133/2021</w:t>
      </w:r>
      <w:r>
        <w:rPr>
          <w:rStyle w:val="LinkdaInternet"/>
          <w:i w:val="false"/>
          <w:iCs w:val="false"/>
          <w:rFonts w:ascii="Carlito" w:hAnsi="Carlito"/>
        </w:rPr>
        <w:fldChar w:fldCharType="end"/>
      </w:r>
      <w:r>
        <w:rPr>
          <w:rFonts w:ascii="Carlito" w:hAnsi="Carlito"/>
          <w:i w:val="false"/>
          <w:iCs w:val="false"/>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18.6.</w:t>
        <w:tab/>
      </w:r>
      <w:r>
        <w:rPr>
          <w:rFonts w:ascii="Carlito" w:hAnsi="Carlito"/>
          <w:i w:val="false"/>
          <w:iCs w:val="false"/>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18.7.</w:t>
        <w:tab/>
      </w:r>
      <w:r>
        <w:rPr>
          <w:rFonts w:ascii="Carlito" w:hAnsi="Carlito"/>
          <w:i w:val="false"/>
          <w:iCs w:val="fals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18.8.</w:t>
        <w:tab/>
      </w:r>
      <w:r>
        <w:rPr>
          <w:rFonts w:ascii="Carlito" w:hAnsi="Carlito"/>
          <w:i w:val="false"/>
          <w:iCs w:val="fals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18.9.</w:t>
        <w:tab/>
      </w:r>
      <w:r>
        <w:rPr>
          <w:rFonts w:ascii="Carlito" w:hAnsi="Carlito"/>
          <w:i w:val="false"/>
          <w:iCs w:val="false"/>
        </w:rPr>
        <w:t>Persistindo a irregularidade, o contratante deverá adotar as medidas necessárias à rescisão contratual nos autos do processo administrativo correspondente, assegurada ao contratado a ampla defesa.</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lang w:eastAsia="en-US"/>
        </w:rPr>
        <w:t>18.10.</w:t>
        <w:tab/>
      </w:r>
      <w:r>
        <w:rPr>
          <w:rFonts w:ascii="Carlito" w:hAnsi="Carlito"/>
          <w:i w:val="false"/>
          <w:iCs w:val="false"/>
        </w:rPr>
        <w:t xml:space="preserve">Havendo a efetiva execução do objeto, os pagamentos serão realizados normalmente, até que se decida pela rescisão do contrato, caso o contratado não regularize sua situação junto ao SICAF. </w:t>
      </w:r>
    </w:p>
    <w:p>
      <w:pPr>
        <w:pStyle w:val="Nvel1SemNum"/>
        <w:spacing w:lineRule="auto" w:line="240" w:before="120" w:after="288"/>
        <w:ind w:left="0" w:hanging="0"/>
        <w:rPr>
          <w:sz w:val="24"/>
          <w:szCs w:val="24"/>
        </w:rPr>
      </w:pPr>
      <w:r>
        <w:rPr>
          <w:rFonts w:ascii="Carlito" w:hAnsi="Carlito"/>
          <w:i w:val="false"/>
          <w:iCs w:val="false"/>
          <w:color w:val="auto"/>
          <w:sz w:val="24"/>
          <w:szCs w:val="24"/>
        </w:rPr>
        <w:t>19.</w:t>
        <w:tab/>
        <w:t>Prazo de pagamento</w:t>
      </w:r>
    </w:p>
    <w:p>
      <w:pPr>
        <w:pStyle w:val="Nivel2"/>
        <w:widowControl/>
        <w:bidi w:val="0"/>
        <w:spacing w:lineRule="auto" w:line="240" w:before="120" w:after="288"/>
        <w:ind w:left="0" w:right="0" w:firstLine="567"/>
        <w:jc w:val="both"/>
        <w:rPr/>
      </w:pPr>
      <w:r>
        <w:rPr>
          <w:rFonts w:ascii="Carlito" w:hAnsi="Carlito"/>
          <w:b/>
          <w:bCs/>
          <w:i w:val="false"/>
          <w:iCs w:val="false"/>
          <w:color w:val="auto"/>
        </w:rPr>
        <w:t>19.1</w:t>
      </w:r>
      <w:r>
        <w:rPr>
          <w:rFonts w:ascii="Carlito" w:hAnsi="Carlito"/>
          <w:i w:val="false"/>
          <w:iCs w:val="false"/>
          <w:color w:val="auto"/>
        </w:rPr>
        <w:tab/>
      </w:r>
      <w:r>
        <w:rPr>
          <w:rFonts w:ascii="Carlito" w:hAnsi="Carlito"/>
          <w:i w:val="false"/>
          <w:iCs w:val="false"/>
        </w:rPr>
        <w:t xml:space="preserve">O pagamento será efetuado no prazo máximo de até dez dias úteis, contados da finalização da liquidação da despesa, conforme seção anterior, nos termos da </w:t>
      </w:r>
      <w:hyperlink r:id="rId4">
        <w:r>
          <w:rPr>
            <w:rStyle w:val="LinkdaInternet"/>
            <w:rFonts w:ascii="Carlito" w:hAnsi="Carlito"/>
            <w:i w:val="false"/>
            <w:iCs w:val="false"/>
          </w:rPr>
          <w:t>Instrução Normativa SEGES/ME nº 77, de 2022.</w:t>
        </w:r>
      </w:hyperlink>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19.2.</w:t>
        <w:tab/>
      </w:r>
      <w:commentRangeStart w:id="22"/>
      <w:r>
        <w:rPr>
          <w:rFonts w:ascii="Carlito" w:hAnsi="Carlito"/>
          <w:i w:val="false"/>
          <w:iCs w:val="false"/>
        </w:rPr>
        <w:t>No caso de atraso pelo Contratante, os valores devidos ao contratado serão atualizados monetariamente entre o termo final do prazo de pagamento até a data de sua efetiva realização, mediante aplicação do índice</w:t>
      </w:r>
      <w:r>
        <w:rPr>
          <w:rFonts w:ascii="Carlito" w:hAnsi="Carlito"/>
          <w:i w:val="false"/>
          <w:iCs w:val="false"/>
          <w:color w:val="000000"/>
        </w:rPr>
        <w:t xml:space="preserve"> IGPM</w:t>
      </w:r>
      <w:r>
        <w:rPr>
          <w:rFonts w:ascii="Carlito" w:hAnsi="Carlito"/>
          <w:i w:val="false"/>
          <w:iCs w:val="false"/>
        </w:rPr>
        <w:t xml:space="preserve"> de correção monetária.</w:t>
      </w:r>
      <w:commentRangeEnd w:id="22"/>
      <w:r>
        <w:commentReference w:id="22"/>
      </w:r>
      <w:r>
        <w:rPr>
          <w:rFonts w:ascii="Carlito" w:hAnsi="Carlito"/>
          <w:i w:val="false"/>
          <w:iCs w:val="false"/>
        </w:rPr>
      </w:r>
    </w:p>
    <w:p>
      <w:pPr>
        <w:pStyle w:val="Nvel1SemNum"/>
        <w:keepNext w:val="true"/>
        <w:keepLines/>
        <w:widowControl/>
        <w:numPr>
          <w:ilvl w:val="0"/>
          <w:numId w:val="0"/>
        </w:numPr>
        <w:bidi w:val="0"/>
        <w:spacing w:lineRule="auto" w:line="240" w:before="120" w:after="288"/>
        <w:ind w:left="0" w:right="0" w:hanging="0"/>
        <w:jc w:val="both"/>
        <w:outlineLvl w:val="1"/>
        <w:rPr>
          <w:sz w:val="24"/>
          <w:szCs w:val="24"/>
        </w:rPr>
      </w:pPr>
      <w:r>
        <w:rPr>
          <w:rFonts w:ascii="Carlito" w:hAnsi="Carlito"/>
          <w:i w:val="false"/>
          <w:iCs w:val="false"/>
          <w:color w:val="000000"/>
          <w:sz w:val="24"/>
          <w:szCs w:val="24"/>
        </w:rPr>
        <w:t>20.</w:t>
        <w:tab/>
        <w:t>Forma de pagamento</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rPr>
        <w:t>20.1</w:t>
        <w:tab/>
      </w:r>
      <w:r>
        <w:rPr>
          <w:rFonts w:ascii="Carlito" w:hAnsi="Carlito"/>
          <w:i w:val="false"/>
          <w:iCs w:val="false"/>
          <w:color w:val="000000" w:themeColor="text1"/>
        </w:rPr>
        <w:t>O pagamento será realizado através de ordem bancária, para crédito em banco, agência e conta corrente indicados pelo contratado.</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rPr>
        <w:t>20.2</w:t>
        <w:tab/>
      </w:r>
      <w:r>
        <w:rPr>
          <w:rFonts w:ascii="Carlito" w:hAnsi="Carlito"/>
          <w:i w:val="false"/>
          <w:iCs w:val="false"/>
          <w:color w:val="000000" w:themeColor="text1"/>
        </w:rPr>
        <w:t xml:space="preserve">Será considerada data do pagamento o dia em que constar como emitida a ordem bancária para </w:t>
      </w:r>
      <w:r>
        <w:rPr>
          <w:rFonts w:ascii="Carlito" w:hAnsi="Carlito"/>
          <w:i w:val="false"/>
          <w:iCs w:val="false"/>
          <w:color w:val="000000"/>
        </w:rPr>
        <w:t>pagamento.</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lang w:eastAsia="en-US"/>
        </w:rPr>
        <w:t>20.3</w:t>
        <w:tab/>
      </w:r>
      <w:commentRangeStart w:id="23"/>
      <w:r>
        <w:rPr>
          <w:rFonts w:ascii="Carlito" w:hAnsi="Carlito"/>
          <w:i w:val="false"/>
          <w:iCs w:val="false"/>
          <w:color w:val="000000"/>
          <w:lang w:eastAsia="en-US"/>
        </w:rPr>
        <w:t>Quand</w:t>
      </w:r>
      <w:r>
        <w:rPr>
          <w:rFonts w:ascii="Carlito" w:hAnsi="Carlito"/>
          <w:i w:val="false"/>
          <w:iCs w:val="false"/>
          <w:lang w:eastAsia="en-US"/>
        </w:rPr>
        <w:t>o do pagamento, será efetuada a retenção tributária prevista na legislação aplicável.</w:t>
      </w:r>
    </w:p>
    <w:p>
      <w:pPr>
        <w:pStyle w:val="Nivel3"/>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lang w:eastAsia="en-US"/>
        </w:rPr>
        <w:t>20.4</w:t>
        <w:tab/>
      </w:r>
      <w:r>
        <w:rPr>
          <w:rFonts w:ascii="Carlito" w:hAnsi="Carlito"/>
          <w:i w:val="false"/>
          <w:iCs w:val="false"/>
          <w:lang w:eastAsia="en-US"/>
        </w:rPr>
        <w:t>Independentemente do percentual de tributo inserido na planilha, quando houver, serão retidos na fonte, quando da realização do pagamento, os percentuais estabelecidos na legislação vigente.</w:t>
      </w:r>
      <w:commentRangeEnd w:id="23"/>
      <w:r>
        <w:commentReference w:id="23"/>
      </w:r>
      <w:r>
        <w:rPr>
          <w:rFonts w:ascii="Carlito" w:hAnsi="Carlito"/>
          <w:i w:val="false"/>
          <w:iCs w:val="false"/>
          <w:lang w:eastAsia="en-US"/>
        </w:rPr>
      </w:r>
    </w:p>
    <w:p>
      <w:pPr>
        <w:pStyle w:val="Nivel2"/>
        <w:widowControl/>
        <w:bidi w:val="0"/>
        <w:spacing w:lineRule="auto" w:line="240" w:before="120" w:after="288"/>
        <w:ind w:left="0" w:right="0" w:firstLine="567"/>
        <w:jc w:val="both"/>
        <w:rPr/>
      </w:pPr>
      <w:r>
        <w:rPr>
          <w:rFonts w:ascii="Carlito" w:hAnsi="Carlito"/>
          <w:b/>
          <w:bCs/>
          <w:i w:val="false"/>
          <w:iCs w:val="false"/>
          <w:color w:val="000000" w:themeColor="text1"/>
          <w:lang w:eastAsia="en-US"/>
        </w:rPr>
        <w:t>20.5</w:t>
        <w:tab/>
      </w:r>
      <w:r>
        <w:rPr>
          <w:rFonts w:ascii="Carlito" w:hAnsi="Carlito"/>
          <w:i w:val="false"/>
          <w:iCs w:val="false"/>
          <w:lang w:eastAsia="en-US"/>
        </w:rPr>
        <w:t xml:space="preserve">O contratado regularmente optante pelo Simples Nacional, nos termos da </w:t>
      </w:r>
      <w:hyperlink r:id="rId5">
        <w:r>
          <w:rPr>
            <w:rStyle w:val="LinkdaInternet"/>
            <w:rFonts w:ascii="Carlito" w:hAnsi="Carlito"/>
            <w:i w:val="false"/>
            <w:iCs w:val="false"/>
            <w:lang w:eastAsia="en-US"/>
          </w:rPr>
          <w:t>Lei Complementar nº 123, de 2006</w:t>
        </w:r>
      </w:hyperlink>
      <w:r>
        <w:rPr>
          <w:rFonts w:ascii="Carlito" w:hAnsi="Carlito"/>
          <w:i w:val="false"/>
          <w:iCs w:val="fals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auto"/>
          <w:sz w:val="24"/>
          <w:szCs w:val="24"/>
        </w:rPr>
        <w:t>21.</w:t>
        <w:tab/>
      </w:r>
      <w:commentRangeStart w:id="24"/>
      <w:r>
        <w:rPr>
          <w:rFonts w:ascii="Carlito" w:hAnsi="Carlito"/>
          <w:i w:val="false"/>
          <w:iCs w:val="false"/>
          <w:color w:val="auto"/>
          <w:sz w:val="24"/>
          <w:szCs w:val="24"/>
        </w:rPr>
        <w:t>Cessão de crédito</w:t>
      </w:r>
      <w:commentRangeEnd w:id="24"/>
      <w:r>
        <w:commentReference w:id="24"/>
      </w:r>
      <w:r>
        <w:rPr>
          <w:rFonts w:ascii="Carlito" w:hAnsi="Carlito"/>
          <w:i w:val="false"/>
          <w:iCs w:val="false"/>
          <w:color w:val="auto"/>
          <w:sz w:val="24"/>
          <w:szCs w:val="24"/>
        </w:rPr>
      </w:r>
    </w:p>
    <w:p>
      <w:pPr>
        <w:pStyle w:val="Nivel2"/>
        <w:widowControl/>
        <w:bidi w:val="0"/>
        <w:spacing w:lineRule="auto" w:line="240" w:before="120" w:after="288"/>
        <w:ind w:left="0" w:right="0" w:firstLine="567"/>
        <w:jc w:val="both"/>
        <w:rPr/>
      </w:pPr>
      <w:r>
        <w:rPr>
          <w:rFonts w:ascii="Carlito" w:hAnsi="Carlito"/>
          <w:b/>
          <w:bCs/>
          <w:i w:val="false"/>
          <w:iCs w:val="false"/>
        </w:rPr>
        <w:t>21.1.</w:t>
      </w:r>
      <w:r>
        <w:rPr>
          <w:rFonts w:ascii="Carlito" w:hAnsi="Carlito"/>
          <w:i w:val="false"/>
          <w:iCs w:val="false"/>
        </w:rPr>
        <w:tab/>
      </w:r>
      <w:r>
        <w:rPr>
          <w:rFonts w:ascii="Carlito" w:hAnsi="Carlito"/>
          <w:b/>
          <w:bCs/>
          <w:i w:val="false"/>
          <w:iCs w:val="false"/>
          <w:color w:val="CE181E"/>
        </w:rPr>
        <w:t>Não</w:t>
      </w:r>
      <w:r>
        <w:rPr>
          <w:rFonts w:ascii="Carlito" w:hAnsi="Carlito"/>
          <w:i w:val="false"/>
          <w:iCs w:val="false"/>
        </w:rPr>
        <w:t xml:space="preserve"> será admitida a cessão fiduciária de direitos creditícios com instituição financeira, nos termos e de acordo com os procedimentos previstos na </w:t>
      </w:r>
      <w:hyperlink r:id="rId6">
        <w:r>
          <w:rPr>
            <w:rStyle w:val="LinkdaInternet"/>
            <w:rFonts w:ascii="Carlito" w:hAnsi="Carlito"/>
            <w:i w:val="false"/>
            <w:iCs w:val="false"/>
          </w:rPr>
          <w:t>Instrução Normativa SEGES/ME nº 53, de 8 de julho de 2020</w:t>
        </w:r>
      </w:hyperlink>
      <w:r>
        <w:rPr>
          <w:rFonts w:ascii="Carlito" w:hAnsi="Carlito"/>
          <w:i w:val="false"/>
          <w:iCs w:val="false"/>
        </w:rPr>
        <w:t>, conforme as regras deste presente tópico.</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rPr>
        <w:t>21.2.</w:t>
        <w:tab/>
      </w:r>
      <w:commentRangeStart w:id="25"/>
      <w:r>
        <w:rPr>
          <w:rFonts w:ascii="Carlito" w:hAnsi="Carlito"/>
          <w:i w:val="false"/>
          <w:iCs w:val="false"/>
          <w:color w:val="000000"/>
        </w:rPr>
        <w:t>As cessões de crédito não fiduciárias dependerão de prévia aprovação do contratante</w:t>
      </w:r>
      <w:r>
        <w:rPr>
          <w:rFonts w:ascii="Carlito" w:hAnsi="Carlito"/>
          <w:i w:val="false"/>
          <w:iCs w:val="false"/>
          <w:color w:val="000000"/>
        </w:rPr>
      </w:r>
      <w:commentRangeEnd w:id="25"/>
      <w:r>
        <w:commentReference w:id="25"/>
      </w:r>
      <w:r>
        <w:rPr>
          <w:rFonts w:ascii="Carlito" w:hAnsi="Carlito"/>
          <w:i w:val="false"/>
          <w:iCs w:val="false"/>
          <w:color w:val="000000"/>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lang w:eastAsia="en-US"/>
        </w:rPr>
        <w:t>21.3.</w:t>
      </w:r>
      <w:r>
        <w:rPr>
          <w:rFonts w:ascii="Carlito" w:hAnsi="Carlito"/>
          <w:i w:val="false"/>
          <w:iCs w:val="false"/>
          <w:lang w:eastAsia="en-US"/>
        </w:rPr>
        <w:t>A</w:t>
        <w:tab/>
        <w:t>eficácia da cessão de crédito, de qualquer natureza, em relação à Administração, está condicionada à celebração de termo aditivo ao contrato administrativo.</w:t>
      </w:r>
    </w:p>
    <w:p>
      <w:pPr>
        <w:pStyle w:val="Nivel2"/>
        <w:widowControl/>
        <w:bidi w:val="0"/>
        <w:spacing w:lineRule="auto" w:line="240" w:before="120" w:after="288"/>
        <w:ind w:left="0" w:right="0" w:firstLine="567"/>
        <w:jc w:val="both"/>
        <w:rPr/>
      </w:pPr>
      <w:r>
        <w:rPr>
          <w:rFonts w:ascii="Carlito" w:hAnsi="Carlito"/>
          <w:b/>
          <w:bCs/>
          <w:i w:val="false"/>
          <w:iCs w:val="false"/>
          <w:color w:val="000000" w:themeColor="text1"/>
          <w:lang w:eastAsia="en-US"/>
        </w:rPr>
        <w:t>21.4.</w:t>
        <w:tab/>
      </w:r>
      <w:r>
        <w:rPr>
          <w:rFonts w:ascii="Carlito" w:hAnsi="Carlito"/>
          <w:i w:val="false"/>
          <w:iCs w:val="false"/>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fldChar w:fldCharType="begin"/>
      </w:r>
      <w:r>
        <w:rPr>
          <w:rStyle w:val="LinkdaInternet"/>
          <w:i w:val="false"/>
          <w:iCs w:val="false"/>
          <w:rFonts w:ascii="Carlito" w:hAnsi="Carlito"/>
        </w:rPr>
        <w:instrText> HYPERLINK "https://www.planalto.gov.br/ccivil_03/leis/l8429.htm" \l "art12"</w:instrText>
      </w:r>
      <w:r>
        <w:rPr>
          <w:rStyle w:val="LinkdaInternet"/>
          <w:i w:val="false"/>
          <w:iCs w:val="false"/>
          <w:rFonts w:ascii="Carlito" w:hAnsi="Carlito"/>
        </w:rPr>
        <w:fldChar w:fldCharType="separate"/>
      </w:r>
      <w:r>
        <w:rPr>
          <w:rStyle w:val="LinkdaInternet"/>
          <w:rFonts w:ascii="Carlito" w:hAnsi="Carlito"/>
          <w:i w:val="false"/>
          <w:iCs w:val="false"/>
          <w:lang w:eastAsia="en-US"/>
        </w:rPr>
        <w:t>art. 12 da Lei nº 8.429, de 1992</w:t>
      </w:r>
      <w:r>
        <w:rPr>
          <w:rStyle w:val="LinkdaInternet"/>
          <w:i w:val="false"/>
          <w:iCs w:val="false"/>
          <w:rFonts w:ascii="Carlito" w:hAnsi="Carlito"/>
        </w:rPr>
        <w:fldChar w:fldCharType="end"/>
      </w:r>
      <w:r>
        <w:rPr>
          <w:rFonts w:ascii="Carlito" w:hAnsi="Carlito"/>
          <w:i w:val="false"/>
          <w:iCs w:val="false"/>
          <w:lang w:eastAsia="en-US"/>
        </w:rPr>
        <w:t xml:space="preserve">, tudo nos termos do </w:t>
      </w:r>
      <w:hyperlink r:id="rId7">
        <w:r>
          <w:rPr>
            <w:rStyle w:val="LinkdaInternet"/>
            <w:rFonts w:ascii="Carlito" w:hAnsi="Carlito"/>
            <w:i w:val="false"/>
            <w:iCs w:val="false"/>
            <w:lang w:eastAsia="en-US"/>
          </w:rPr>
          <w:t>Parecer JL-01, de 18 de maio de 2020.</w:t>
        </w:r>
      </w:hyperlink>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lang w:eastAsia="en-US"/>
        </w:rPr>
        <w:t>21.5.</w:t>
        <w:tab/>
      </w:r>
      <w:commentRangeStart w:id="26"/>
      <w:r>
        <w:rPr>
          <w:rFonts w:ascii="Carlito" w:hAnsi="Carlito"/>
          <w:i w:val="false"/>
          <w:iCs w:val="false"/>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 w:name="_Hlk114498479"/>
      <w:bookmarkEnd w:id="4"/>
      <w:r>
        <w:rPr>
          <w:rFonts w:ascii="Carlito" w:hAnsi="Carlito"/>
          <w:i w:val="false"/>
          <w:iCs w:val="false"/>
          <w:lang w:eastAsia="en-US"/>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themeColor="text1"/>
          <w:lang w:eastAsia="en-US"/>
        </w:rPr>
        <w:t>21.6.</w:t>
        <w:tab/>
      </w:r>
      <w:r>
        <w:rPr>
          <w:rFonts w:ascii="Carlito" w:hAnsi="Carlito"/>
          <w:i w:val="false"/>
          <w:iCs w:val="false"/>
          <w:lang w:eastAsia="en-US"/>
        </w:rPr>
        <w:t>A cessão de crédito não afetará a execução do objeto contratado, que continuará sob a integral responsabilidade do contratado.</w:t>
      </w:r>
      <w:commentRangeEnd w:id="26"/>
      <w:r>
        <w:commentReference w:id="26"/>
      </w:r>
      <w:r>
        <w:rPr>
          <w:rFonts w:ascii="Carlito" w:hAnsi="Carlito"/>
          <w:i w:val="false"/>
          <w:iCs w:val="false"/>
          <w:lang w:eastAsia="en-US"/>
        </w:rPr>
      </w:r>
    </w:p>
    <w:p>
      <w:pPr>
        <w:pStyle w:val="Nivel01"/>
        <w:keepNext w:val="true"/>
        <w:keepLines/>
        <w:widowControl/>
        <w:numPr>
          <w:ilvl w:val="0"/>
          <w:numId w:val="0"/>
        </w:numPr>
        <w:bidi w:val="0"/>
        <w:spacing w:lineRule="auto" w:line="240" w:before="120" w:after="288"/>
        <w:ind w:left="360" w:right="0" w:hanging="0"/>
        <w:jc w:val="both"/>
        <w:rPr>
          <w:rFonts w:ascii="Carlito" w:hAnsi="Carlito"/>
        </w:rPr>
      </w:pPr>
      <w:r>
        <w:rPr>
          <w:rFonts w:ascii="Carlito" w:hAnsi="Carlito"/>
          <w:i w:val="false"/>
          <w:iCs w:val="false"/>
          <w:sz w:val="24"/>
          <w:szCs w:val="24"/>
        </w:rPr>
        <w:t>22.</w:t>
        <w:tab/>
        <w:t>FORMA E CRITÉRIOS DE SELEÇÃO DO FORNECEDOR</w:t>
      </w:r>
    </w:p>
    <w:p>
      <w:pPr>
        <w:pStyle w:val="Nvel1SemNum"/>
        <w:keepNext w:val="true"/>
        <w:keepLines/>
        <w:widowControl/>
        <w:numPr>
          <w:ilvl w:val="0"/>
          <w:numId w:val="0"/>
        </w:numPr>
        <w:bidi w:val="0"/>
        <w:spacing w:lineRule="auto" w:line="240" w:before="120" w:after="288"/>
        <w:ind w:left="0" w:right="0" w:firstLine="567"/>
        <w:jc w:val="both"/>
        <w:outlineLvl w:val="1"/>
        <w:rPr>
          <w:rFonts w:ascii="Carlito" w:hAnsi="Carlito"/>
        </w:rPr>
      </w:pPr>
      <w:r>
        <w:rPr>
          <w:rFonts w:ascii="Carlito" w:hAnsi="Carlito"/>
          <w:i w:val="false"/>
          <w:iCs w:val="false"/>
          <w:color w:val="auto"/>
        </w:rPr>
        <w:t>22.1.</w:t>
        <w:tab/>
        <w:t>Forma de seleção e critério de julgamento da proposta</w:t>
      </w:r>
    </w:p>
    <w:p>
      <w:pPr>
        <w:pStyle w:val="Nivel2"/>
        <w:widowControl/>
        <w:bidi w:val="0"/>
        <w:spacing w:lineRule="auto" w:line="240" w:before="120" w:after="288"/>
        <w:ind w:left="850" w:right="0" w:hanging="0"/>
        <w:jc w:val="both"/>
        <w:rPr>
          <w:rFonts w:ascii="Carlito" w:hAnsi="Carlito"/>
        </w:rPr>
      </w:pPr>
      <w:r>
        <w:rPr>
          <w:rFonts w:eastAsia="Arial" w:ascii="Carlito" w:hAnsi="Carlito"/>
          <w:b/>
          <w:bCs/>
          <w:i w:val="false"/>
          <w:iCs w:val="false"/>
          <w:color w:val="auto"/>
        </w:rPr>
        <w:t>22.1.1.</w:t>
      </w:r>
      <w:r>
        <w:rPr>
          <w:rFonts w:eastAsia="Arial" w:ascii="Carlito" w:hAnsi="Carlito"/>
          <w:i w:val="false"/>
          <w:iCs w:val="false"/>
          <w:color w:val="auto"/>
        </w:rPr>
        <w:tab/>
      </w:r>
      <w:r>
        <w:rPr>
          <w:rFonts w:eastAsia="Arial" w:ascii="Carlito" w:hAnsi="Carlito"/>
          <w:i w:val="false"/>
          <w:iCs w:val="false"/>
        </w:rPr>
        <w:t>O fornecedor</w:t>
      </w:r>
      <w:r>
        <w:rPr>
          <w:rFonts w:ascii="Carlito" w:hAnsi="Carlito"/>
          <w:i w:val="false"/>
          <w:iCs w:val="false"/>
        </w:rPr>
        <w:t xml:space="preserve"> será selecionado por meio da realização de procedimento de LICITAÇÃO, na modalidade PREGÃO, sob a forma ELETRÔNICA</w:t>
      </w:r>
      <w:r>
        <w:rPr>
          <w:rFonts w:eastAsia="Arial" w:ascii="Carlito" w:hAnsi="Carlito"/>
          <w:i w:val="false"/>
          <w:iCs w:val="false"/>
        </w:rPr>
        <w:t xml:space="preserve">, com adoção do critério de julgamento pelo </w:t>
      </w:r>
      <w:r>
        <w:rPr>
          <w:rFonts w:eastAsia="Arial" w:ascii="Carlito" w:hAnsi="Carlito"/>
          <w:b/>
          <w:bCs/>
          <w:i w:val="false"/>
          <w:iCs w:val="false"/>
          <w:color w:val="000000"/>
        </w:rPr>
        <w:t>MAIOR DESCONTO.</w:t>
      </w:r>
    </w:p>
    <w:p>
      <w:pPr>
        <w:pStyle w:val="Nvel1SemNum"/>
        <w:keepNext w:val="true"/>
        <w:keepLines/>
        <w:widowControl/>
        <w:numPr>
          <w:ilvl w:val="0"/>
          <w:numId w:val="0"/>
        </w:numPr>
        <w:bidi w:val="0"/>
        <w:spacing w:lineRule="auto" w:line="240" w:before="120" w:after="288"/>
        <w:ind w:left="0" w:right="0" w:firstLine="567"/>
        <w:jc w:val="both"/>
        <w:outlineLvl w:val="1"/>
        <w:rPr>
          <w:rFonts w:ascii="Carlito" w:hAnsi="Carlito"/>
        </w:rPr>
      </w:pPr>
      <w:r>
        <w:rPr>
          <w:rFonts w:ascii="Carlito" w:hAnsi="Carlito"/>
          <w:i w:val="false"/>
          <w:iCs w:val="false"/>
          <w:color w:val="auto"/>
        </w:rPr>
        <w:t>22.2.</w:t>
        <w:tab/>
      </w:r>
      <w:commentRangeStart w:id="27"/>
      <w:r>
        <w:rPr>
          <w:rFonts w:ascii="Carlito" w:hAnsi="Carlito"/>
          <w:i w:val="false"/>
          <w:iCs w:val="false"/>
          <w:color w:val="auto"/>
        </w:rPr>
        <w:t>Exigências de habilitação</w:t>
      </w:r>
    </w:p>
    <w:p>
      <w:pPr>
        <w:pStyle w:val="Nivel2"/>
        <w:widowControl/>
        <w:bidi w:val="0"/>
        <w:spacing w:lineRule="auto" w:line="240" w:before="120" w:after="288"/>
        <w:ind w:left="850" w:right="0" w:hanging="0"/>
        <w:jc w:val="both"/>
        <w:rPr>
          <w:rFonts w:ascii="Carlito" w:hAnsi="Carlito"/>
        </w:rPr>
      </w:pPr>
      <w:r>
        <w:rPr>
          <w:rFonts w:ascii="Carlito" w:hAnsi="Carlito"/>
          <w:b/>
          <w:bCs/>
          <w:i w:val="false"/>
          <w:iCs w:val="false"/>
          <w:color w:val="auto"/>
        </w:rPr>
        <w:t>22.2.1.</w:t>
        <w:tab/>
      </w:r>
      <w:r>
        <w:rPr>
          <w:rFonts w:ascii="Carlito" w:hAnsi="Carlito"/>
          <w:i w:val="false"/>
          <w:iCs w:val="false"/>
        </w:rPr>
        <w:t>Para fins de habilitação, deverá o licitante comprovar os seguintes requisitos:</w:t>
      </w:r>
      <w:commentRangeEnd w:id="27"/>
      <w:r>
        <w:commentReference w:id="27"/>
      </w:r>
      <w:r>
        <w:rPr>
          <w:rFonts w:ascii="Carlito" w:hAnsi="Carlito"/>
          <w:i w:val="false"/>
          <w:iCs w:val="false"/>
        </w:rPr>
      </w:r>
    </w:p>
    <w:p>
      <w:pPr>
        <w:pStyle w:val="Nvel1SemNum"/>
        <w:keepNext w:val="true"/>
        <w:keepLines/>
        <w:widowControl/>
        <w:numPr>
          <w:ilvl w:val="0"/>
          <w:numId w:val="0"/>
        </w:numPr>
        <w:bidi w:val="0"/>
        <w:spacing w:lineRule="auto" w:line="240" w:before="120" w:after="288"/>
        <w:ind w:left="1134" w:right="0" w:hanging="0"/>
        <w:jc w:val="both"/>
        <w:outlineLvl w:val="1"/>
        <w:rPr>
          <w:rFonts w:ascii="Carlito" w:hAnsi="Carlito"/>
        </w:rPr>
      </w:pPr>
      <w:r>
        <w:rPr>
          <w:rFonts w:ascii="Carlito" w:hAnsi="Carlito"/>
          <w:i w:val="false"/>
          <w:iCs w:val="false"/>
          <w:color w:val="auto"/>
        </w:rPr>
        <w:t>A)</w:t>
        <w:tab/>
        <w:t>Habilitação jurídica</w:t>
      </w:r>
    </w:p>
    <w:p>
      <w:pPr>
        <w:pStyle w:val="Nivel2"/>
        <w:widowControl/>
        <w:bidi w:val="0"/>
        <w:spacing w:lineRule="auto" w:line="240" w:before="120" w:after="288"/>
        <w:ind w:left="1134" w:right="0" w:hanging="0"/>
        <w:jc w:val="both"/>
        <w:rPr>
          <w:rFonts w:ascii="Carlito" w:hAnsi="Carlito"/>
        </w:rPr>
      </w:pPr>
      <w:r>
        <w:rPr>
          <w:rFonts w:ascii="Carlito" w:hAnsi="Carlito"/>
          <w:b/>
          <w:bCs/>
          <w:i w:val="false"/>
          <w:iCs w:val="false"/>
        </w:rPr>
        <w:t>B)</w:t>
        <w:tab/>
      </w:r>
      <w:bookmarkStart w:id="5" w:name="_Ref115800561"/>
      <w:commentRangeStart w:id="28"/>
      <w:r>
        <w:rPr>
          <w:rFonts w:ascii="Carlito" w:hAnsi="Carlito"/>
          <w:b/>
          <w:bCs/>
          <w:i w:val="false"/>
          <w:iCs w:val="false"/>
        </w:rPr>
        <w:t>Pessoa física:</w:t>
      </w:r>
      <w:r>
        <w:rPr>
          <w:rFonts w:ascii="Carlito" w:hAnsi="Carlito"/>
          <w:i w:val="false"/>
          <w:iCs w:val="false"/>
        </w:rPr>
        <w:t xml:space="preserve"> cédula de identidade (RG) ou documento equivalente que, por força de lei, tenha validade para fins de identificação em todo o território nacional;</w:t>
      </w:r>
      <w:bookmarkEnd w:id="5"/>
      <w:commentRangeEnd w:id="28"/>
      <w:r>
        <w:commentReference w:id="28"/>
      </w:r>
      <w:r>
        <w:rPr>
          <w:rFonts w:ascii="Carlito" w:hAnsi="Carlito"/>
          <w:i w:val="false"/>
          <w:iCs w:val="false"/>
        </w:rPr>
      </w:r>
    </w:p>
    <w:p>
      <w:pPr>
        <w:pStyle w:val="Nivel2"/>
        <w:widowControl/>
        <w:bidi w:val="0"/>
        <w:spacing w:lineRule="auto" w:line="240" w:before="120" w:after="288"/>
        <w:ind w:left="1134" w:right="0" w:hanging="0"/>
        <w:jc w:val="both"/>
        <w:rPr/>
      </w:pPr>
      <w:r>
        <w:rPr>
          <w:rFonts w:ascii="Carlito" w:hAnsi="Carlito"/>
          <w:b/>
          <w:bCs/>
          <w:i w:val="false"/>
          <w:iCs w:val="false"/>
        </w:rPr>
        <w:t>C)</w:t>
        <w:tab/>
        <w:t xml:space="preserve">Empresário individual: </w:t>
      </w:r>
      <w:r>
        <w:rPr>
          <w:rFonts w:ascii="Carlito" w:hAnsi="Carlito"/>
          <w:i w:val="false"/>
          <w:iCs w:val="false"/>
        </w:rPr>
        <w:t xml:space="preserve">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8">
        <w:r>
          <w:rPr>
            <w:rStyle w:val="LinkdaInternet"/>
            <w:rFonts w:ascii="Carlito" w:hAnsi="Carlito"/>
            <w:i w:val="false"/>
            <w:iCs w:val="false"/>
          </w:rPr>
          <w:t>https://www.gov.br/empresas-e-negocios/pt-br/empreendedor</w:t>
        </w:r>
      </w:hyperlink>
      <w:r>
        <w:rPr>
          <w:rFonts w:ascii="Carlito" w:hAnsi="Carlito"/>
          <w:i w:val="false"/>
          <w:iCs w:val="false"/>
        </w:rPr>
        <w:t>;</w:t>
      </w:r>
    </w:p>
    <w:p>
      <w:pPr>
        <w:pStyle w:val="Nivel2"/>
        <w:widowControl/>
        <w:numPr>
          <w:ilvl w:val="0"/>
          <w:numId w:val="0"/>
        </w:numPr>
        <w:bidi w:val="0"/>
        <w:spacing w:lineRule="auto" w:line="240" w:before="120" w:after="288"/>
        <w:ind w:left="2133" w:right="0" w:hanging="0"/>
        <w:jc w:val="both"/>
        <w:rPr>
          <w:rFonts w:ascii="Carlito" w:hAnsi="Carlito"/>
        </w:rPr>
      </w:pPr>
      <w:r>
        <w:rPr>
          <w:rFonts w:ascii="Carlito" w:hAnsi="Carlito"/>
          <w:b/>
          <w:bCs/>
          <w:i w:val="false"/>
          <w:iCs w:val="false"/>
        </w:rPr>
        <w:t>D)</w:t>
        <w:tab/>
      </w:r>
      <w:commentRangeStart w:id="29"/>
      <w:r>
        <w:rPr>
          <w:rFonts w:ascii="Carlito" w:hAnsi="Carlito"/>
          <w:b/>
          <w:bCs/>
          <w:i w:val="false"/>
          <w:iCs w:val="false"/>
        </w:rPr>
        <w:t>Sociedade empresária, sociedade limitada unipessoal – SLU ou sociedade identificada como empresa individual de responsabilidade limitada - EIRELI</w:t>
      </w:r>
      <w:r>
        <w:rPr>
          <w:rFonts w:ascii="Carlito" w:hAnsi="Carlito"/>
          <w:i w:val="false"/>
          <w:iCs w:val="false"/>
        </w:rPr>
        <w:t>: inscrição do ato constitutivo, estatuto ou contrato social no Registro Público de Empresas Mercantis, a cargo da Junta Comercial da respectiva sede, acompanhada de documento comprobatório de seus administradores;</w:t>
      </w:r>
      <w:commentRangeEnd w:id="29"/>
      <w:r>
        <w:commentReference w:id="29"/>
      </w:r>
      <w:r>
        <w:rPr>
          <w:rFonts w:ascii="Carlito" w:hAnsi="Carlito"/>
          <w:i w:val="false"/>
          <w:iCs w:val="false"/>
        </w:rPr>
      </w:r>
    </w:p>
    <w:p>
      <w:pPr>
        <w:pStyle w:val="Nivel2"/>
        <w:widowControl/>
        <w:numPr>
          <w:ilvl w:val="0"/>
          <w:numId w:val="0"/>
        </w:numPr>
        <w:bidi w:val="0"/>
        <w:spacing w:lineRule="auto" w:line="240" w:before="120" w:after="288"/>
        <w:ind w:left="2133" w:right="0" w:hanging="0"/>
        <w:jc w:val="both"/>
        <w:rPr/>
      </w:pPr>
      <w:r>
        <w:rPr>
          <w:rFonts w:ascii="Carlito" w:hAnsi="Carlito"/>
          <w:b/>
          <w:bCs/>
          <w:i w:val="false"/>
          <w:iCs w:val="false"/>
        </w:rPr>
        <w:t>E)</w:t>
        <w:tab/>
        <w:t>Sociedade empresária estrangeira</w:t>
      </w:r>
      <w:r>
        <w:rPr>
          <w:rFonts w:ascii="Carlito" w:hAnsi="Carlito"/>
          <w:i w:val="false"/>
          <w:iCs w:val="false"/>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
        <w:r>
          <w:rPr>
            <w:rStyle w:val="LinkdaInternet"/>
            <w:rFonts w:ascii="Carlito" w:hAnsi="Carlito"/>
            <w:i w:val="false"/>
            <w:iCs w:val="false"/>
          </w:rPr>
          <w:t>Instrução Normativa DREI/ME n.º 77, de 18 de março de 2020</w:t>
        </w:r>
      </w:hyperlink>
      <w:r>
        <w:rPr>
          <w:rFonts w:ascii="Carlito" w:hAnsi="Carlito"/>
          <w:i w:val="false"/>
          <w:iCs w:val="false"/>
        </w:rPr>
        <w:t>.</w:t>
      </w:r>
    </w:p>
    <w:p>
      <w:pPr>
        <w:pStyle w:val="Nivel2"/>
        <w:widowControl/>
        <w:numPr>
          <w:ilvl w:val="0"/>
          <w:numId w:val="0"/>
        </w:numPr>
        <w:bidi w:val="0"/>
        <w:spacing w:lineRule="auto" w:line="240" w:before="120" w:after="288"/>
        <w:ind w:left="2133" w:right="0" w:hanging="0"/>
        <w:jc w:val="both"/>
        <w:rPr>
          <w:rFonts w:ascii="Carlito" w:hAnsi="Carlito"/>
        </w:rPr>
      </w:pPr>
      <w:r>
        <w:rPr>
          <w:rFonts w:ascii="Carlito" w:hAnsi="Carlito"/>
          <w:b/>
          <w:bCs/>
          <w:i w:val="false"/>
          <w:iCs w:val="false"/>
        </w:rPr>
        <w:t>F)</w:t>
        <w:tab/>
        <w:t>Sociedade simples</w:t>
      </w:r>
      <w:r>
        <w:rPr>
          <w:rFonts w:ascii="Carlito" w:hAnsi="Carlito"/>
          <w:i w:val="false"/>
          <w:iCs w:val="false"/>
        </w:rPr>
        <w:t>: inscrição do ato constitutivo no Registro Civil de Pessoas Jurídicas do local de sua sede, acompanhada de documento comprobatório de seus administradores;</w:t>
      </w:r>
    </w:p>
    <w:p>
      <w:pPr>
        <w:pStyle w:val="Nivel2"/>
        <w:widowControl/>
        <w:numPr>
          <w:ilvl w:val="0"/>
          <w:numId w:val="0"/>
        </w:numPr>
        <w:bidi w:val="0"/>
        <w:spacing w:lineRule="auto" w:line="240" w:before="120" w:after="288"/>
        <w:ind w:left="2133" w:right="0" w:hanging="0"/>
        <w:jc w:val="both"/>
        <w:rPr>
          <w:rFonts w:ascii="Carlito" w:hAnsi="Carlito"/>
        </w:rPr>
      </w:pPr>
      <w:r>
        <w:rPr>
          <w:rFonts w:ascii="Carlito" w:hAnsi="Carlito"/>
          <w:b/>
          <w:bCs/>
          <w:i w:val="false"/>
          <w:iCs w:val="false"/>
        </w:rPr>
        <w:t>G)</w:t>
        <w:tab/>
        <w:t>Filial, sucursal ou agência de sociedade simples ou empresária</w:t>
      </w:r>
      <w:r>
        <w:rPr>
          <w:rFonts w:ascii="Carlito" w:hAnsi="Carlito"/>
          <w:i w:val="false"/>
          <w:iCs w:val="false"/>
        </w:rPr>
        <w:t xml:space="preserve">: inscrição do ato constitutivo da filial, sucursal ou agência da sociedade simples ou empresária, respectivamente, no Registro Civil das Pessoas Jurídicas ou no Registro Público de Empresas </w:t>
      </w:r>
      <w:bookmarkStart w:id="6" w:name="_Int_ySfCXwr4"/>
      <w:r>
        <w:rPr>
          <w:rFonts w:ascii="Carlito" w:hAnsi="Carlito"/>
          <w:i w:val="false"/>
          <w:iCs w:val="false"/>
        </w:rPr>
        <w:t>Mercantis onde</w:t>
      </w:r>
      <w:bookmarkEnd w:id="6"/>
      <w:r>
        <w:rPr>
          <w:rFonts w:ascii="Carlito" w:hAnsi="Carlito"/>
          <w:i w:val="false"/>
          <w:iCs w:val="false"/>
        </w:rPr>
        <w:t xml:space="preserve"> opera, com averbação no Registro onde tem sede a matriz</w:t>
      </w:r>
    </w:p>
    <w:p>
      <w:pPr>
        <w:pStyle w:val="Nivel2"/>
        <w:widowControl/>
        <w:bidi w:val="0"/>
        <w:spacing w:lineRule="auto" w:line="240" w:before="120" w:after="288"/>
        <w:ind w:left="0" w:right="0" w:firstLine="850"/>
        <w:jc w:val="both"/>
        <w:rPr>
          <w:rFonts w:ascii="Carlito" w:hAnsi="Carlito"/>
        </w:rPr>
      </w:pPr>
      <w:r>
        <w:rPr>
          <w:rFonts w:ascii="Carlito" w:hAnsi="Carlito"/>
          <w:b/>
          <w:bCs/>
          <w:i w:val="false"/>
          <w:iCs w:val="false"/>
          <w:color w:val="auto"/>
        </w:rPr>
        <w:t>22</w:t>
      </w:r>
      <w:r>
        <w:rPr>
          <w:rFonts w:ascii="Carlito" w:hAnsi="Carlito"/>
          <w:b/>
          <w:bCs/>
          <w:i w:val="false"/>
          <w:iCs w:val="false"/>
        </w:rPr>
        <w:t>.2.2.</w:t>
        <w:tab/>
      </w:r>
      <w:r>
        <w:rPr>
          <w:rFonts w:ascii="Carlito" w:hAnsi="Carlito"/>
          <w:i w:val="false"/>
          <w:iCs w:val="false"/>
        </w:rPr>
        <w:t>Os documentos apresentados deverão estar acompanhados de todas as alterações ou da consolidação respectiva.</w:t>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auto"/>
          <w:sz w:val="24"/>
          <w:szCs w:val="24"/>
        </w:rPr>
        <w:t>23.</w:t>
        <w:tab/>
        <w:t>Habilitação fiscal, social e trabalhista</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rPr>
        <w:t>23.1.</w:t>
      </w:r>
      <w:r>
        <w:rPr>
          <w:rFonts w:ascii="Carlito" w:hAnsi="Carlito"/>
          <w:i w:val="false"/>
          <w:iCs w:val="false"/>
        </w:rPr>
        <w:tab/>
        <w:t>Prova de inscrição no Cadastro Nacional de Pessoas Jurídicas ou no Cadastro de Pessoas Físicas, conforme o caso;</w:t>
      </w:r>
    </w:p>
    <w:p>
      <w:pPr>
        <w:pStyle w:val="Nivel2"/>
        <w:widowControl/>
        <w:bidi w:val="0"/>
        <w:spacing w:lineRule="auto" w:line="240" w:before="120" w:after="288"/>
        <w:ind w:left="0" w:right="0" w:firstLine="567"/>
        <w:jc w:val="both"/>
        <w:rPr/>
      </w:pPr>
      <w:r>
        <w:rPr>
          <w:rFonts w:ascii="Carlito" w:hAnsi="Carlito"/>
          <w:b/>
          <w:bCs/>
          <w:i w:val="false"/>
          <w:iCs w:val="false"/>
        </w:rPr>
        <w:t>23.2.</w:t>
      </w:r>
      <w:r>
        <w:rPr>
          <w:rFonts w:ascii="Carlito" w:hAnsi="Carlito"/>
          <w:i w:val="false"/>
          <w:iCs w:val="false"/>
        </w:rPr>
        <w:tab/>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
        <w:r>
          <w:rPr>
            <w:rStyle w:val="LinkdaInternet"/>
            <w:rFonts w:ascii="Carlito" w:hAnsi="Carlito"/>
            <w:i w:val="false"/>
            <w:iCs w:val="false"/>
          </w:rPr>
          <w:t>Portaria Conjunta nº 1.751, de 02 de outubro de 2014</w:t>
        </w:r>
      </w:hyperlink>
      <w:r>
        <w:rPr>
          <w:rFonts w:ascii="Carlito" w:hAnsi="Carlito"/>
          <w:i w:val="false"/>
          <w:iCs w:val="false"/>
        </w:rPr>
        <w:t>, do Secretário da Receita Federal do Brasil e da Procuradora-Geral da Fazenda Nacional.</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rPr>
        <w:t>23.3.</w:t>
      </w:r>
      <w:r>
        <w:rPr>
          <w:rFonts w:ascii="Carlito" w:hAnsi="Carlito"/>
          <w:i w:val="false"/>
          <w:iCs w:val="false"/>
        </w:rPr>
        <w:tab/>
        <w:t>Prova de regularidade com o Fundo de Garantia do Tempo de Serviço (FGTS);</w:t>
      </w:r>
    </w:p>
    <w:p>
      <w:pPr>
        <w:pStyle w:val="Nivel2"/>
        <w:widowControl/>
        <w:bidi w:val="0"/>
        <w:spacing w:lineRule="auto" w:line="240" w:before="120" w:after="288"/>
        <w:ind w:left="0" w:right="0" w:firstLine="567"/>
        <w:jc w:val="both"/>
        <w:rPr/>
      </w:pPr>
      <w:r>
        <w:rPr>
          <w:rFonts w:ascii="Carlito" w:hAnsi="Carlito"/>
          <w:b/>
          <w:bCs/>
          <w:i w:val="false"/>
          <w:iCs w:val="false"/>
        </w:rPr>
        <w:t>23.4.</w:t>
      </w:r>
      <w:r>
        <w:rPr>
          <w:rFonts w:ascii="Carlito" w:hAnsi="Carlito"/>
          <w:i w:val="false"/>
          <w:iCs w:val="false"/>
        </w:rPr>
        <w:tab/>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1">
        <w:r>
          <w:rPr>
            <w:rStyle w:val="LinkdaInternet"/>
            <w:rFonts w:ascii="Carlito" w:hAnsi="Carlito"/>
            <w:i w:val="false"/>
            <w:iCs w:val="false"/>
          </w:rPr>
          <w:t>Decreto-Lei nº 5.452, de 1º de maio de 1943;</w:t>
        </w:r>
      </w:hyperlink>
    </w:p>
    <w:p>
      <w:pPr>
        <w:pStyle w:val="Nivel2"/>
        <w:widowControl/>
        <w:bidi w:val="0"/>
        <w:spacing w:lineRule="auto" w:line="240" w:before="120" w:after="288"/>
        <w:ind w:left="0" w:right="0" w:firstLine="567"/>
        <w:jc w:val="both"/>
        <w:rPr>
          <w:rFonts w:ascii="Carlito" w:hAnsi="Carlito"/>
        </w:rPr>
      </w:pPr>
      <w:r>
        <w:rPr>
          <w:rFonts w:eastAsia="Arial" w:ascii="Carlito" w:hAnsi="Carlito"/>
          <w:b/>
          <w:bCs/>
          <w:i w:val="false"/>
          <w:iCs w:val="false"/>
          <w:color w:val="000000" w:themeColor="text1"/>
        </w:rPr>
        <w:t>23.5.</w:t>
      </w:r>
      <w:r>
        <w:rPr>
          <w:rFonts w:eastAsia="Arial" w:ascii="Carlito" w:hAnsi="Carlito"/>
          <w:i w:val="false"/>
          <w:iCs w:val="false"/>
          <w:color w:val="000000" w:themeColor="text1"/>
        </w:rPr>
        <w:tab/>
      </w:r>
      <w:commentRangeStart w:id="30"/>
      <w:r>
        <w:rPr>
          <w:rFonts w:eastAsia="Arial" w:ascii="Carlito" w:hAnsi="Carlito"/>
          <w:i w:val="false"/>
          <w:iCs w:val="false"/>
          <w:color w:val="000000" w:themeColor="text1"/>
        </w:rPr>
        <w:t xml:space="preserve">Prova de inscrição no cadastro de contribuintes </w:t>
      </w:r>
      <w:r>
        <w:rPr>
          <w:rFonts w:eastAsia="Arial" w:ascii="Carlito" w:hAnsi="Carlito"/>
          <w:i w:val="false"/>
          <w:iCs w:val="false"/>
          <w:color w:val="000000"/>
        </w:rPr>
        <w:t xml:space="preserve">Estadual/Distrital </w:t>
      </w:r>
      <w:r>
        <w:rPr>
          <w:rFonts w:eastAsia="Arial" w:ascii="Carlito" w:hAnsi="Carlito"/>
          <w:i w:val="false"/>
          <w:iCs w:val="false"/>
          <w:color w:val="000000" w:themeColor="text1"/>
        </w:rPr>
        <w:t xml:space="preserve">relativo ao domicílio ou sede do fornecedor, pertinente ao seu ramo de atividade e compatível com o objeto contratual; </w:t>
      </w:r>
    </w:p>
    <w:p>
      <w:pPr>
        <w:pStyle w:val="Nivel2"/>
        <w:widowControl/>
        <w:bidi w:val="0"/>
        <w:spacing w:lineRule="auto" w:line="240" w:before="120" w:after="288"/>
        <w:ind w:left="0" w:right="0" w:firstLine="567"/>
        <w:jc w:val="both"/>
        <w:rPr>
          <w:rFonts w:ascii="Carlito" w:hAnsi="Carlito"/>
        </w:rPr>
      </w:pPr>
      <w:r>
        <w:rPr>
          <w:rFonts w:eastAsia="Arial" w:ascii="Carlito" w:hAnsi="Carlito"/>
          <w:b/>
          <w:bCs/>
          <w:i w:val="false"/>
          <w:iCs w:val="false"/>
          <w:color w:val="000000" w:themeColor="text1"/>
        </w:rPr>
        <w:t>23.6.</w:t>
      </w:r>
      <w:r>
        <w:rPr>
          <w:rFonts w:eastAsia="Arial" w:ascii="Carlito" w:hAnsi="Carlito"/>
          <w:i w:val="false"/>
          <w:iCs w:val="false"/>
          <w:color w:val="000000" w:themeColor="text1"/>
        </w:rPr>
        <w:tab/>
        <w:t xml:space="preserve">Prova de regularidade com a Fazenda </w:t>
      </w:r>
      <w:r>
        <w:rPr>
          <w:rFonts w:eastAsia="Arial" w:ascii="Carlito" w:hAnsi="Carlito"/>
          <w:i w:val="false"/>
          <w:iCs w:val="false"/>
          <w:color w:val="000000"/>
        </w:rPr>
        <w:t>Estadual/Distrital</w:t>
      </w:r>
      <w:r>
        <w:rPr>
          <w:rFonts w:ascii="Carlito" w:hAnsi="Carlito"/>
          <w:i w:val="false"/>
          <w:iCs w:val="false"/>
          <w:color w:val="000000"/>
        </w:rPr>
        <w:t xml:space="preserve"> </w:t>
      </w:r>
      <w:r>
        <w:rPr>
          <w:rFonts w:eastAsia="Arial" w:ascii="Carlito" w:hAnsi="Carlito"/>
          <w:i w:val="false"/>
          <w:iCs w:val="false"/>
          <w:color w:val="000000" w:themeColor="text1"/>
        </w:rPr>
        <w:t>do domicílio ou sede do fornecedor, relativa à atividade em cujo exercício contrata ou concorre;</w:t>
      </w:r>
      <w:commentRangeEnd w:id="30"/>
      <w:r>
        <w:commentReference w:id="30"/>
      </w:r>
      <w:r>
        <w:rPr>
          <w:rFonts w:eastAsia="Arial" w:ascii="Carlito" w:hAnsi="Carlito"/>
          <w:i w:val="false"/>
          <w:iCs w:val="false"/>
          <w:color w:val="000000" w:themeColor="text1"/>
        </w:rPr>
      </w:r>
    </w:p>
    <w:p>
      <w:pPr>
        <w:pStyle w:val="Nivel2"/>
        <w:widowControl/>
        <w:bidi w:val="0"/>
        <w:spacing w:lineRule="auto" w:line="240" w:before="120" w:after="288"/>
        <w:ind w:left="0" w:right="0" w:firstLine="567"/>
        <w:jc w:val="both"/>
        <w:rPr>
          <w:rFonts w:ascii="Carlito" w:hAnsi="Carlito"/>
        </w:rPr>
      </w:pPr>
      <w:r>
        <w:rPr>
          <w:rFonts w:eastAsia="Arial" w:ascii="Carlito" w:hAnsi="Carlito"/>
          <w:b/>
          <w:bCs/>
          <w:i w:val="false"/>
          <w:iCs w:val="false"/>
          <w:color w:val="000000" w:themeColor="text1"/>
        </w:rPr>
        <w:t>23.7.</w:t>
      </w:r>
      <w:r>
        <w:rPr>
          <w:rFonts w:eastAsia="Arial" w:ascii="Carlito" w:hAnsi="Carlito"/>
          <w:i w:val="false"/>
          <w:iCs w:val="false"/>
          <w:color w:val="000000" w:themeColor="text1"/>
        </w:rPr>
        <w:tab/>
        <w:t xml:space="preserve">Caso o fornecedor seja considerado isento dos tributos </w:t>
      </w:r>
      <w:r>
        <w:rPr>
          <w:rFonts w:eastAsia="Arial" w:ascii="Carlito" w:hAnsi="Carlito"/>
          <w:i w:val="false"/>
          <w:iCs w:val="false"/>
          <w:color w:val="000000"/>
        </w:rPr>
        <w:t>Estadual/Distrital</w:t>
      </w:r>
      <w:r>
        <w:rPr>
          <w:rFonts w:eastAsia="Arial" w:ascii="Carlito" w:hAnsi="Carlito"/>
          <w:i w:val="false"/>
          <w:iCs w:val="false"/>
          <w:color w:val="FF0000"/>
        </w:rPr>
        <w:t xml:space="preserve"> </w:t>
      </w:r>
      <w:r>
        <w:rPr>
          <w:rFonts w:eastAsia="Arial" w:ascii="Carlito" w:hAnsi="Carlito"/>
          <w:i w:val="false"/>
          <w:iCs w:val="false"/>
          <w:color w:val="000000" w:themeColor="text1"/>
        </w:rPr>
        <w:t>relacionados ao objeto contratual, deverá comprovar tal condição mediante a apresentação de declaração da Fazenda respectiva do seu domicílio ou sede, ou outra equivalente, na forma da lei.</w:t>
      </w:r>
    </w:p>
    <w:p>
      <w:pPr>
        <w:pStyle w:val="Nivel2"/>
        <w:widowControl/>
        <w:bidi w:val="0"/>
        <w:spacing w:lineRule="auto" w:line="240" w:before="120" w:after="288"/>
        <w:ind w:left="0" w:right="0" w:firstLine="567"/>
        <w:jc w:val="both"/>
        <w:rPr/>
      </w:pPr>
      <w:r>
        <w:rPr>
          <w:rFonts w:ascii="Carlito" w:hAnsi="Carlito"/>
          <w:b/>
          <w:bCs/>
          <w:i w:val="false"/>
          <w:iCs w:val="false"/>
        </w:rPr>
        <w:t>23.8.</w:t>
      </w:r>
      <w:r>
        <w:rPr>
          <w:rFonts w:ascii="Carlito" w:hAnsi="Carlito"/>
          <w:i w:val="false"/>
          <w:iCs w:val="false"/>
        </w:rPr>
        <w:tab/>
      </w:r>
      <w:commentRangeStart w:id="31"/>
      <w:r>
        <w:rPr>
          <w:rFonts w:ascii="Carlito" w:hAnsi="Carlito"/>
          <w:i w:val="false"/>
          <w:iCs w:val="false"/>
        </w:rPr>
        <w:t xml:space="preserve">O fornecedor enquadrado como microempreendedor individual que pretenda auferir os benefícios do tratamento diferenciado previstos na </w:t>
      </w:r>
      <w:hyperlink r:id="rId12">
        <w:r>
          <w:rPr>
            <w:rStyle w:val="LinkdaInternet"/>
            <w:rFonts w:ascii="Carlito" w:hAnsi="Carlito"/>
            <w:i w:val="false"/>
            <w:iCs w:val="false"/>
          </w:rPr>
          <w:t>Lei Complementar n. 123, de 2006</w:t>
        </w:r>
      </w:hyperlink>
      <w:r>
        <w:rPr>
          <w:rFonts w:ascii="Carlito" w:hAnsi="Carlito"/>
          <w:i w:val="false"/>
          <w:iCs w:val="false"/>
        </w:rPr>
        <w:t>, estará dispensado da prova de inscrição nos cadastros de contribuintes estadual e municipal.</w:t>
      </w:r>
      <w:bookmarkStart w:id="7" w:name="_Hlk121934117"/>
      <w:bookmarkEnd w:id="7"/>
      <w:commentRangeEnd w:id="31"/>
      <w:r>
        <w:commentReference w:id="31"/>
      </w:r>
      <w:r>
        <w:rPr>
          <w:rFonts w:ascii="Carlito" w:hAnsi="Carlito"/>
          <w:i w:val="false"/>
          <w:iCs w:val="false"/>
        </w:rPr>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auto"/>
          <w:sz w:val="24"/>
          <w:szCs w:val="24"/>
        </w:rPr>
        <w:t>24.</w:t>
        <w:tab/>
      </w:r>
      <w:commentRangeStart w:id="32"/>
      <w:r>
        <w:rPr>
          <w:rFonts w:ascii="Carlito" w:hAnsi="Carlito"/>
          <w:i w:val="false"/>
          <w:iCs w:val="false"/>
          <w:color w:val="auto"/>
          <w:sz w:val="24"/>
          <w:szCs w:val="24"/>
        </w:rPr>
        <w:t>Qualificação Econômico-Financeira</w:t>
      </w:r>
      <w:commentRangeEnd w:id="32"/>
      <w:r>
        <w:commentReference w:id="32"/>
      </w:r>
      <w:r>
        <w:rPr>
          <w:rFonts w:ascii="Carlito" w:hAnsi="Carlito"/>
          <w:i w:val="false"/>
          <w:iCs w:val="false"/>
          <w:color w:val="auto"/>
          <w:sz w:val="24"/>
          <w:szCs w:val="24"/>
        </w:rPr>
      </w:r>
    </w:p>
    <w:p>
      <w:pPr>
        <w:pStyle w:val="Nivel2"/>
        <w:widowControl/>
        <w:bidi w:val="0"/>
        <w:spacing w:lineRule="auto" w:line="240" w:before="120" w:after="288"/>
        <w:ind w:left="0" w:right="0" w:firstLine="567"/>
        <w:jc w:val="both"/>
        <w:rPr/>
      </w:pPr>
      <w:r>
        <w:rPr>
          <w:rFonts w:ascii="Carlito" w:hAnsi="Carlito"/>
          <w:b/>
          <w:bCs/>
          <w:i w:val="false"/>
          <w:iCs w:val="false"/>
          <w:color w:val="auto"/>
        </w:rPr>
        <w:t>24.1.</w:t>
        <w:tab/>
      </w:r>
      <w:r>
        <w:rPr>
          <w:rFonts w:ascii="Carlito" w:hAnsi="Carlito"/>
          <w:i w:val="false"/>
          <w:iCs w:val="false"/>
        </w:rPr>
        <w:t>certidão negativa de insolvência civil expedida pelo distribuidor do domicílio ou sede do licitante, caso se trate de pessoa física, desde que admitida a sua participação na licitação (</w:t>
      </w:r>
      <w:hyperlink r:id="rId13">
        <w:r>
          <w:rPr>
            <w:rStyle w:val="LinkdaInternet"/>
            <w:rFonts w:ascii="Carlito" w:hAnsi="Carlito"/>
            <w:i w:val="false"/>
            <w:iCs w:val="false"/>
          </w:rPr>
          <w:t>art. 5º, inciso II, alínea “c”, da Instrução Normativa Seges/ME nº 116, de 2021</w:t>
        </w:r>
      </w:hyperlink>
      <w:r>
        <w:rPr>
          <w:rFonts w:ascii="Carlito" w:hAnsi="Carlito"/>
          <w:i w:val="false"/>
          <w:iCs w:val="false"/>
        </w:rPr>
        <w:t xml:space="preserve">), ou de sociedade simples; </w:t>
      </w:r>
    </w:p>
    <w:p>
      <w:pPr>
        <w:pStyle w:val="Nivel2"/>
        <w:widowControl/>
        <w:bidi w:val="0"/>
        <w:spacing w:lineRule="auto" w:line="240" w:before="120" w:after="288"/>
        <w:ind w:left="0" w:right="0" w:firstLine="567"/>
        <w:jc w:val="both"/>
        <w:rPr/>
      </w:pPr>
      <w:r>
        <w:rPr>
          <w:rFonts w:ascii="Carlito" w:hAnsi="Carlito"/>
          <w:b/>
          <w:bCs/>
          <w:i w:val="false"/>
          <w:iCs w:val="false"/>
          <w:color w:val="auto"/>
        </w:rPr>
        <w:t>24.2.</w:t>
      </w:r>
      <w:r>
        <w:rPr>
          <w:rFonts w:ascii="Carlito" w:hAnsi="Carlito"/>
          <w:i w:val="false"/>
          <w:iCs w:val="false"/>
        </w:rPr>
        <w:t xml:space="preserve">certidão negativa de falência expedida pelo distribuidor da sede do fornecedor - </w:t>
      </w:r>
      <w:r>
        <w:fldChar w:fldCharType="begin"/>
      </w:r>
      <w:r>
        <w:rPr>
          <w:rStyle w:val="LinkdaInternet"/>
          <w:i w:val="false"/>
          <w:iCs w:val="false"/>
          <w:rFonts w:ascii="Carlito" w:hAnsi="Carlito"/>
        </w:rPr>
        <w:instrText> HYPERLINK "http://www.planalto.gov.br/ccivil_03/_ato2019-2022/2021/lei/L14133.htm" \l "art69"</w:instrText>
      </w:r>
      <w:r>
        <w:rPr>
          <w:rStyle w:val="LinkdaInternet"/>
          <w:i w:val="false"/>
          <w:iCs w:val="false"/>
          <w:rFonts w:ascii="Carlito" w:hAnsi="Carlito"/>
        </w:rPr>
        <w:fldChar w:fldCharType="separate"/>
      </w:r>
      <w:r>
        <w:rPr>
          <w:rStyle w:val="LinkdaInternet"/>
          <w:rFonts w:ascii="Carlito" w:hAnsi="Carlito"/>
          <w:i w:val="false"/>
          <w:iCs w:val="false"/>
        </w:rPr>
        <w:t xml:space="preserve">Lei nº 14.133, de 2021, art. 69, </w:t>
      </w:r>
      <w:r>
        <w:rPr>
          <w:rStyle w:val="LinkdaInternet"/>
          <w:i w:val="false"/>
          <w:iCs w:val="false"/>
          <w:rFonts w:ascii="Carlito" w:hAnsi="Carlito"/>
        </w:rPr>
        <w:fldChar w:fldCharType="end"/>
      </w:r>
      <w:r>
        <w:rPr>
          <w:rStyle w:val="LinkdaInternet"/>
          <w:rFonts w:ascii="Carlito" w:hAnsi="Carlito"/>
          <w:i w:val="false"/>
          <w:iCs w:val="false"/>
        </w:rPr>
        <w:t>caput, inciso II</w:t>
      </w:r>
      <w:r>
        <w:rPr>
          <w:rFonts w:ascii="Carlito" w:hAnsi="Carlito"/>
          <w:i w:val="false"/>
          <w:iCs w:val="false"/>
        </w:rPr>
        <w:t>);</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24.3.</w:t>
        <w:tab/>
      </w:r>
      <w:r>
        <w:rPr>
          <w:rFonts w:ascii="Carlito" w:hAnsi="Carlito"/>
          <w:i w:val="false"/>
          <w:iCs w:val="false"/>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pPr>
        <w:pStyle w:val="Nivel3"/>
        <w:numPr>
          <w:ilvl w:val="0"/>
          <w:numId w:val="0"/>
        </w:numPr>
        <w:spacing w:lineRule="auto" w:line="240" w:before="120" w:after="288"/>
        <w:ind w:left="567" w:firstLine="709"/>
        <w:rPr>
          <w:rFonts w:ascii="Carlito" w:hAnsi="Carlito"/>
        </w:rPr>
      </w:pPr>
      <w:r>
        <w:rPr>
          <w:rFonts w:ascii="Carlito" w:hAnsi="Carlito"/>
          <w:i w:val="false"/>
          <w:iCs w:val="false"/>
        </w:rPr>
        <w:t>I - Liquidez Geral (LG) = (Ativo Circulante + Realizável a Longo Prazo) / (Passivo Circulante + Passivo Não Circulante);</w:t>
      </w:r>
    </w:p>
    <w:p>
      <w:pPr>
        <w:pStyle w:val="Nivel3"/>
        <w:numPr>
          <w:ilvl w:val="0"/>
          <w:numId w:val="0"/>
        </w:numPr>
        <w:spacing w:lineRule="auto" w:line="240" w:before="120" w:after="288"/>
        <w:ind w:left="567" w:firstLine="709"/>
        <w:rPr>
          <w:rFonts w:ascii="Carlito" w:hAnsi="Carlito"/>
        </w:rPr>
      </w:pPr>
      <w:r>
        <w:rPr>
          <w:rFonts w:ascii="Carlito" w:hAnsi="Carlito"/>
          <w:i w:val="false"/>
          <w:iCs w:val="false"/>
        </w:rPr>
        <w:t>II - Solvência Geral (SG)= (Ativo Total) / (Passivo Circulante +Passivo não Circulante); e</w:t>
      </w:r>
    </w:p>
    <w:p>
      <w:pPr>
        <w:pStyle w:val="Nivel3"/>
        <w:numPr>
          <w:ilvl w:val="0"/>
          <w:numId w:val="0"/>
        </w:numPr>
        <w:spacing w:lineRule="auto" w:line="240" w:before="120" w:after="288"/>
        <w:ind w:left="567" w:firstLine="709"/>
        <w:rPr>
          <w:rFonts w:ascii="Carlito" w:hAnsi="Carlito"/>
        </w:rPr>
      </w:pPr>
      <w:r>
        <w:rPr>
          <w:rFonts w:ascii="Carlito" w:hAnsi="Carlito"/>
          <w:i w:val="false"/>
          <w:iCs w:val="false"/>
        </w:rPr>
        <w:t>III - Liquidez Corrente (LC) = (Ativo Circulante) / (Passivo Circulante).</w:t>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24.4.</w:t>
        <w:tab/>
      </w:r>
      <w:commentRangeStart w:id="33"/>
      <w:r>
        <w:rPr>
          <w:rFonts w:ascii="Carlito" w:hAnsi="Carlito"/>
          <w:i w:val="false"/>
          <w:iCs w:val="false"/>
        </w:rPr>
        <w:t xml:space="preserve">Caso a empresa licitante apresente resultado inferior ou igual a 1 (um) em qualquer dos índices de Liquidez Geral (LG), Solvência Geral (SG) e Liquidez Corrente (LC), será exigido para fins de habilitação </w:t>
      </w:r>
      <w:r>
        <w:rPr>
          <w:rFonts w:ascii="Carlito" w:hAnsi="Carlito"/>
          <w:i w:val="false"/>
          <w:iCs w:val="false"/>
          <w:color w:val="000000"/>
        </w:rPr>
        <w:t>capital mínimo de até 10% do valor total estimado da contratação.</w:t>
      </w:r>
      <w:commentRangeEnd w:id="33"/>
      <w:r>
        <w:commentReference w:id="33"/>
      </w:r>
      <w:r>
        <w:rPr>
          <w:rFonts w:ascii="Carlito" w:hAnsi="Carlito"/>
          <w:i w:val="false"/>
          <w:iCs w:val="false"/>
          <w:color w:val="000000"/>
        </w:rPr>
      </w:r>
    </w:p>
    <w:p>
      <w:pPr>
        <w:pStyle w:val="Nivel2"/>
        <w:widowControl/>
        <w:bidi w:val="0"/>
        <w:spacing w:lineRule="auto" w:line="240" w:before="120" w:after="288"/>
        <w:ind w:left="0" w:right="0" w:firstLine="567"/>
        <w:jc w:val="both"/>
        <w:rPr/>
      </w:pPr>
      <w:r>
        <w:rPr>
          <w:rFonts w:ascii="Carlito" w:hAnsi="Carlito"/>
          <w:b/>
          <w:bCs/>
          <w:i w:val="false"/>
          <w:iCs w:val="false"/>
          <w:color w:val="auto"/>
        </w:rPr>
        <w:t>24.5.</w:t>
        <w:tab/>
      </w:r>
      <w:r>
        <w:rPr>
          <w:rFonts w:ascii="Carlito" w:hAnsi="Carlito"/>
          <w:i w:val="false"/>
          <w:iCs w:val="false"/>
        </w:rPr>
        <w:t>As empresas criadas no exercício financeiro da licitação deverão atender a todas as exigências da habilitação e poderão substituir os demonstrativos contábeis pelo balanço de abertura. (</w:t>
      </w:r>
      <w:r>
        <w:fldChar w:fldCharType="begin"/>
      </w:r>
      <w:r>
        <w:rPr>
          <w:rStyle w:val="LinkdaInternet"/>
          <w:i w:val="false"/>
          <w:iCs w:val="false"/>
          <w:rFonts w:ascii="Carlito" w:hAnsi="Carlito"/>
        </w:rPr>
        <w:instrText> HYPERLINK "http://www.planalto.gov.br/ccivil_03/_ato2019-2022/2021/lei/L14133.htm" \l "art65§1"</w:instrText>
      </w:r>
      <w:r>
        <w:rPr>
          <w:rStyle w:val="LinkdaInternet"/>
          <w:i w:val="false"/>
          <w:iCs w:val="false"/>
          <w:rFonts w:ascii="Carlito" w:hAnsi="Carlito"/>
        </w:rPr>
        <w:fldChar w:fldCharType="separate"/>
      </w:r>
      <w:r>
        <w:rPr>
          <w:rStyle w:val="LinkdaInternet"/>
          <w:rFonts w:ascii="Carlito" w:hAnsi="Carlito"/>
          <w:i w:val="false"/>
          <w:iCs w:val="false"/>
        </w:rPr>
        <w:t>Lei nº 14.133, de 2021, art. 65, §1º</w:t>
      </w:r>
      <w:r>
        <w:rPr>
          <w:rStyle w:val="LinkdaInternet"/>
          <w:i w:val="false"/>
          <w:iCs w:val="false"/>
          <w:rFonts w:ascii="Carlito" w:hAnsi="Carlito"/>
        </w:rPr>
        <w:fldChar w:fldCharType="end"/>
      </w:r>
      <w:r>
        <w:rPr>
          <w:rFonts w:ascii="Carlito" w:hAnsi="Carlito"/>
          <w:i w:val="false"/>
          <w:iCs w:val="false"/>
        </w:rPr>
        <w:t>).</w:t>
      </w:r>
    </w:p>
    <w:p>
      <w:pPr>
        <w:pStyle w:val="Nivel2"/>
        <w:widowControl/>
        <w:bidi w:val="0"/>
        <w:spacing w:lineRule="auto" w:line="240" w:before="120" w:after="288"/>
        <w:ind w:left="0" w:right="0" w:firstLine="567"/>
        <w:jc w:val="both"/>
        <w:rPr/>
      </w:pPr>
      <w:r>
        <w:rPr>
          <w:rFonts w:ascii="Carlito" w:hAnsi="Carlito"/>
          <w:b/>
          <w:bCs/>
          <w:i w:val="false"/>
          <w:iCs w:val="false"/>
          <w:color w:val="auto"/>
        </w:rPr>
        <w:t>24.6.</w:t>
        <w:tab/>
      </w:r>
      <w:r>
        <w:rPr>
          <w:rFonts w:ascii="Carlito" w:hAnsi="Carlito"/>
          <w:i w:val="false"/>
          <w:iCs w:val="false"/>
        </w:rPr>
        <w:t>O balanço patrimonial, dem</w:t>
      </w:r>
      <w:r>
        <w:rPr>
          <w:rFonts w:ascii="Carlito" w:hAnsi="Carlito"/>
          <w:i w:val="false"/>
          <w:iCs w:val="false"/>
          <w:color w:val="000000"/>
        </w:rPr>
        <w:t>onstração de resultado de exercício e demais demonstrações contábeis limitar-se-ão ao último exercício no caso de a pessoa jurídica ter sido constituída há menos de 2 (dois) anos. (</w:t>
      </w:r>
      <w:r>
        <w:fldChar w:fldCharType="begin"/>
      </w:r>
      <w:r>
        <w:rPr>
          <w:rStyle w:val="LinkdaInternet"/>
          <w:i w:val="false"/>
          <w:iCs w:val="false"/>
          <w:rFonts w:ascii="Carlito" w:hAnsi="Carlito"/>
        </w:rPr>
        <w:instrText> HYPERLINK "http://www.planalto.gov.br/ccivil_03/_ato2019-2022/2021/lei/L14133.htm" \l "art69§6"</w:instrText>
      </w:r>
      <w:r>
        <w:rPr>
          <w:rStyle w:val="LinkdaInternet"/>
          <w:i w:val="false"/>
          <w:iCs w:val="false"/>
          <w:rFonts w:ascii="Carlito" w:hAnsi="Carlito"/>
        </w:rPr>
        <w:fldChar w:fldCharType="separate"/>
      </w:r>
      <w:r>
        <w:rPr>
          <w:rStyle w:val="LinkdaInternet"/>
          <w:rFonts w:ascii="Carlito" w:hAnsi="Carlito"/>
          <w:i w:val="false"/>
          <w:iCs w:val="false"/>
          <w:color w:val="000000"/>
        </w:rPr>
        <w:t>Lei nº 14.133, de 2021, art. 69, §6º</w:t>
      </w:r>
      <w:r>
        <w:rPr>
          <w:rStyle w:val="LinkdaInternet"/>
          <w:i w:val="false"/>
          <w:iCs w:val="false"/>
          <w:rFonts w:ascii="Carlito" w:hAnsi="Carlito"/>
        </w:rPr>
        <w:fldChar w:fldCharType="end"/>
      </w:r>
      <w:r>
        <w:rPr>
          <w:rFonts w:ascii="Carlito" w:hAnsi="Carlito"/>
          <w:i w:val="false"/>
          <w:iCs w:val="false"/>
          <w:color w:val="000000"/>
        </w:rPr>
        <w:t>)</w:t>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auto"/>
        </w:rPr>
        <w:t>24.7.</w:t>
        <w:tab/>
      </w:r>
      <w:commentRangeStart w:id="34"/>
      <w:r>
        <w:rPr>
          <w:rFonts w:ascii="Carlito" w:hAnsi="Carlito"/>
          <w:i w:val="false"/>
          <w:iCs w:val="false"/>
          <w:color w:val="000000"/>
        </w:rPr>
        <w:t>O atendimento dos índices econômicos previstos neste item deverá ser atestado mediante declaração assinada por profissional habilitado da área contábil, apresentada pelo fornecedor.</w:t>
      </w:r>
      <w:commentRangeEnd w:id="34"/>
      <w:r>
        <w:commentReference w:id="34"/>
      </w:r>
      <w:r>
        <w:rPr>
          <w:rFonts w:ascii="Carlito" w:hAnsi="Carlito"/>
          <w:i w:val="false"/>
          <w:iCs w:val="false"/>
          <w:color w:val="000000"/>
        </w:rPr>
      </w:r>
    </w:p>
    <w:p>
      <w:pPr>
        <w:pStyle w:val="Nvel1SemNum"/>
        <w:keepNext w:val="true"/>
        <w:keepLines/>
        <w:widowControl/>
        <w:numPr>
          <w:ilvl w:val="0"/>
          <w:numId w:val="0"/>
        </w:numPr>
        <w:bidi w:val="0"/>
        <w:spacing w:lineRule="auto" w:line="240" w:before="120" w:after="288"/>
        <w:ind w:left="0" w:right="0" w:hanging="0"/>
        <w:jc w:val="both"/>
        <w:outlineLvl w:val="1"/>
        <w:rPr>
          <w:rFonts w:ascii="Carlito" w:hAnsi="Carlito"/>
        </w:rPr>
      </w:pPr>
      <w:r>
        <w:rPr>
          <w:rFonts w:ascii="Carlito" w:hAnsi="Carlito"/>
          <w:i w:val="false"/>
          <w:iCs w:val="false"/>
          <w:color w:val="000000"/>
          <w:sz w:val="24"/>
          <w:szCs w:val="24"/>
        </w:rPr>
        <w:t>25.</w:t>
        <w:tab/>
      </w:r>
      <w:commentRangeStart w:id="35"/>
      <w:r>
        <w:rPr>
          <w:rFonts w:ascii="Carlito" w:hAnsi="Carlito"/>
          <w:i w:val="false"/>
          <w:iCs w:val="false"/>
          <w:color w:val="000000"/>
          <w:sz w:val="24"/>
          <w:szCs w:val="24"/>
        </w:rPr>
        <w:t>Qualificação Técnica</w:t>
      </w:r>
      <w:commentRangeEnd w:id="35"/>
      <w:r>
        <w:commentReference w:id="35"/>
      </w:r>
      <w:r>
        <w:rPr>
          <w:rFonts w:ascii="Carlito" w:hAnsi="Carlito"/>
          <w:i w:val="false"/>
          <w:iCs w:val="false"/>
          <w:color w:val="000000"/>
          <w:sz w:val="24"/>
          <w:szCs w:val="24"/>
        </w:rPr>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25.1.</w:t>
      </w:r>
      <w:r>
        <w:rPr>
          <w:rFonts w:ascii="Carlito" w:hAnsi="Carlito"/>
          <w:i w:val="false"/>
          <w:iCs w:val="false"/>
          <w:color w:val="000000"/>
        </w:rPr>
        <w:tab/>
        <w:t>Serão aferidas mediante a apresentação de, no mínimo, 01 (um) Atestados de Capacidade Técnica-Operacional fornecidos por pessoas jurídicas de direito público ou privado, que comprovem que a Empresa Licitante tenha executado, a contento, ou esteja executando, serviços de natureza e vulto, compatíveis com o objeto ora licitado e que permitam estabelecer, por comparação, proximidade de características funcionais técnicas, dimensionais e qualitativas com o objeto da presente licitação, em conformidade com este Termo de Referência.</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25.2.</w:t>
        <w:tab/>
      </w:r>
      <w:r>
        <w:rPr>
          <w:rFonts w:ascii="Carlito" w:hAnsi="Carlito"/>
          <w:i w:val="false"/>
          <w:iCs w:val="false"/>
          <w:color w:val="000000"/>
        </w:rPr>
        <w:t>Pelo menos 1 (um) dos atestados exigidos acima deverá comprovar a prestação desses serviços em, no mínimo, 50% (cinquenta por cento) do quantitativo previsto neste Termo de Referência. A falta desta comprovação implicará em sua desclassificação.</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25.3.</w:t>
        <w:tab/>
      </w:r>
      <w:r>
        <w:rPr>
          <w:rFonts w:ascii="Carlito" w:hAnsi="Carlito"/>
          <w:i w:val="false"/>
          <w:iCs w:val="false"/>
          <w:color w:val="000000"/>
        </w:rPr>
        <w:t>Os atestados deverão referir-se a serviços prestados no âmbito de sua atividade econômica principal ou secundária especificadas no contrato social vigente e que estejam em consonância com o objeto da Dispensa Eletrônica.</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25.4.</w:t>
        <w:tab/>
      </w:r>
      <w:r>
        <w:rPr>
          <w:rFonts w:ascii="Carlito" w:hAnsi="Carlito"/>
          <w:i w:val="false"/>
          <w:iCs w:val="false"/>
          <w:color w:val="000000"/>
        </w:rPr>
        <w:t>Somente serão aceitos atestados expedidos após a conclusão do contrato ou se decorrido, pelo menos, um ano do início de sua execução, exceto se firmado para ser executado em prazo inferior, conforme item 10.8 da IN SEGES/MP n. 5, de 2017.</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25.5.</w:t>
        <w:tab/>
      </w:r>
      <w:r>
        <w:rPr>
          <w:rFonts w:ascii="Carlito" w:hAnsi="Carlito"/>
          <w:i w:val="false"/>
          <w:iCs w:val="false"/>
          <w:color w:val="000000"/>
        </w:rPr>
        <w:t>Para a comprovação da experiência mínima de 3 (três) anos, será aceito o somatório de atestados de períodos diferentes, não havendo obrigatoriedade de os três anos serem ininterruptos, conforme item 10.7.1 do Anexo VII-A da IN SEGES/MP n. 5/2017.</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25.6.</w:t>
        <w:tab/>
      </w:r>
      <w:r>
        <w:rPr>
          <w:rFonts w:ascii="Carlito" w:hAnsi="Carlito"/>
          <w:i w:val="false"/>
          <w:iCs w:val="false"/>
          <w:color w:val="00000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25.7.</w:t>
        <w:tab/>
      </w:r>
      <w:r>
        <w:rPr>
          <w:rFonts w:ascii="Carlito" w:hAnsi="Carlito"/>
          <w:i w:val="false"/>
          <w:iCs w:val="false"/>
          <w:color w:val="00000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pPr>
        <w:pStyle w:val="Nvel3R"/>
        <w:widowControl/>
        <w:bidi w:val="0"/>
        <w:spacing w:lineRule="auto" w:line="240" w:before="120" w:after="288"/>
        <w:ind w:left="0" w:right="0" w:firstLine="567"/>
        <w:jc w:val="both"/>
        <w:rPr/>
      </w:pPr>
      <w:r>
        <w:rPr>
          <w:rFonts w:ascii="Carlito" w:hAnsi="Carlito"/>
          <w:b/>
          <w:bCs/>
          <w:i w:val="false"/>
          <w:iCs w:val="false"/>
          <w:color w:val="000000"/>
        </w:rPr>
        <w:t>25.8.</w:t>
        <w:tab/>
      </w:r>
      <w:r>
        <w:rPr>
          <w:rFonts w:ascii="Carlito" w:hAnsi="Carlito"/>
          <w:i w:val="false"/>
          <w:iCs w:val="false"/>
          <w:color w:val="000000"/>
        </w:rPr>
        <w:t>O critério de aceitabilidade das propostas ficará limitado ao valor máximo de R$ 1</w:t>
      </w:r>
      <w:r>
        <w:rPr>
          <w:rFonts w:ascii="Carlito" w:hAnsi="Carlito"/>
          <w:i w:val="false"/>
          <w:iCs w:val="false"/>
          <w:color w:val="000000"/>
        </w:rPr>
        <w:t>91.667,87</w:t>
      </w:r>
      <w:r>
        <w:rPr>
          <w:rFonts w:ascii="Carlito" w:hAnsi="Carlito"/>
          <w:i w:val="false"/>
          <w:iCs w:val="false"/>
          <w:color w:val="000000"/>
        </w:rPr>
        <w:t xml:space="preserve"> (</w:t>
      </w:r>
      <w:bookmarkStart w:id="8" w:name="__DdeLink__12450_1076465839"/>
      <w:r>
        <w:rPr>
          <w:rFonts w:ascii="Carlito" w:hAnsi="Carlito"/>
          <w:i w:val="false"/>
          <w:iCs w:val="false"/>
          <w:color w:val="000000"/>
        </w:rPr>
        <w:t>cento e noventa e um mil, seiscentos e sessenta e sete reais e oitenta e sete centavos</w:t>
      </w:r>
      <w:bookmarkEnd w:id="8"/>
      <w:r>
        <w:rPr>
          <w:rFonts w:ascii="Carlito" w:hAnsi="Carlito"/>
          <w:i w:val="false"/>
          <w:iCs w:val="false"/>
          <w:color w:val="000000"/>
        </w:rPr>
        <w:t>).</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25.9.</w:t>
        <w:tab/>
      </w:r>
      <w:r>
        <w:rPr>
          <w:rFonts w:ascii="Carlito" w:hAnsi="Carlito"/>
          <w:i w:val="false"/>
          <w:iCs w:val="false"/>
          <w:color w:val="000000"/>
        </w:rPr>
        <w:t>O critério de julgamento da proposta é o maior desconto.</w:t>
      </w:r>
    </w:p>
    <w:p>
      <w:pPr>
        <w:pStyle w:val="Nvel3R"/>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25.10.</w:t>
        <w:tab/>
      </w:r>
      <w:r>
        <w:rPr>
          <w:rFonts w:ascii="Carlito" w:hAnsi="Carlito"/>
          <w:i w:val="false"/>
          <w:iCs w:val="false"/>
          <w:color w:val="000000"/>
        </w:rPr>
        <w:t>As regras de desempate entre propostas são as discriminadas no art.60 da Lei 14.133, de 2021.</w:t>
      </w:r>
      <w:r>
        <w:rPr/>
        <w:commentReference w:id="36"/>
      </w:r>
    </w:p>
    <w:p>
      <w:pPr>
        <w:pStyle w:val="Nivel2"/>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25.11.</w:t>
        <w:tab/>
      </w:r>
      <w:r>
        <w:rPr>
          <w:rFonts w:ascii="Carlito" w:hAnsi="Carlito"/>
          <w:i w:val="false"/>
          <w:iCs w:val="false"/>
        </w:rPr>
        <w:t>Caso admitida a participação de cooperativas, será exigida a seguinte documentação complementar:</w:t>
      </w:r>
    </w:p>
    <w:p>
      <w:pPr>
        <w:pStyle w:val="Nivel3"/>
        <w:widowControl/>
        <w:bidi w:val="0"/>
        <w:spacing w:lineRule="auto" w:line="240" w:before="120" w:after="288"/>
        <w:ind w:left="1134" w:right="0" w:hanging="0"/>
        <w:jc w:val="both"/>
        <w:rPr/>
      </w:pPr>
      <w:r>
        <w:rPr>
          <w:rFonts w:ascii="Carlito" w:hAnsi="Carlito"/>
          <w:b/>
          <w:bCs/>
          <w:i w:val="false"/>
          <w:iCs w:val="false"/>
          <w:color w:val="000000"/>
        </w:rPr>
        <w:t>25.11.1.</w:t>
        <w:tab/>
      </w:r>
      <w:r>
        <w:rPr>
          <w:rFonts w:ascii="Carlito" w:hAnsi="Carlito"/>
          <w:i w:val="false"/>
          <w:iCs w:val="false"/>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i w:val="false"/>
          <w:iCs w:val="false"/>
          <w:rFonts w:ascii="Carlito" w:hAnsi="Carlito"/>
        </w:rPr>
        <w:instrText> HYPERLINK "https://www.planalto.gov.br/ccivil_03/leis/l5764.htm" \l "art4"</w:instrText>
      </w:r>
      <w:r>
        <w:rPr>
          <w:rStyle w:val="LinkdaInternet"/>
          <w:i w:val="false"/>
          <w:iCs w:val="false"/>
          <w:rFonts w:ascii="Carlito" w:hAnsi="Carlito"/>
        </w:rPr>
        <w:fldChar w:fldCharType="separate"/>
      </w:r>
      <w:r>
        <w:rPr>
          <w:rStyle w:val="LinkdaInternet"/>
          <w:rFonts w:ascii="Carlito" w:hAnsi="Carlito"/>
          <w:i w:val="false"/>
          <w:iCs w:val="false"/>
        </w:rPr>
        <w:t>arts. 4º, inciso XI, 21, inciso I e 42, §§2º a 6º da Lei n. 5.764, de 1971</w:t>
      </w:r>
      <w:r>
        <w:rPr>
          <w:rStyle w:val="LinkdaInternet"/>
          <w:i w:val="false"/>
          <w:iCs w:val="false"/>
          <w:rFonts w:ascii="Carlito" w:hAnsi="Carlito"/>
        </w:rPr>
        <w:fldChar w:fldCharType="end"/>
      </w:r>
      <w:r>
        <w:rPr>
          <w:rFonts w:ascii="Carlito" w:hAnsi="Carlito"/>
          <w:i w:val="false"/>
          <w:iCs w:val="false"/>
        </w:rPr>
        <w:t>;</w:t>
      </w:r>
    </w:p>
    <w:p>
      <w:pPr>
        <w:pStyle w:val="Nivel3"/>
        <w:widowControl/>
        <w:bidi w:val="0"/>
        <w:spacing w:lineRule="auto" w:line="240" w:before="120" w:after="288"/>
        <w:ind w:left="1134" w:right="0" w:hanging="0"/>
        <w:jc w:val="both"/>
        <w:rPr>
          <w:rFonts w:ascii="Carlito" w:hAnsi="Carlito"/>
        </w:rPr>
      </w:pPr>
      <w:r>
        <w:rPr>
          <w:rFonts w:ascii="Carlito" w:hAnsi="Carlito"/>
          <w:b/>
          <w:bCs/>
          <w:i w:val="false"/>
          <w:iCs w:val="false"/>
          <w:color w:val="000000"/>
        </w:rPr>
        <w:t>25.11.2.</w:t>
        <w:tab/>
      </w:r>
      <w:r>
        <w:rPr>
          <w:rFonts w:ascii="Carlito" w:hAnsi="Carlito"/>
          <w:i w:val="false"/>
          <w:iCs w:val="false"/>
        </w:rPr>
        <w:t>A declaração de regularidade de situação do contribuinte individual – DRSCI, para cada um dos cooperados indicados;</w:t>
      </w:r>
    </w:p>
    <w:p>
      <w:pPr>
        <w:pStyle w:val="Nivel3"/>
        <w:widowControl/>
        <w:bidi w:val="0"/>
        <w:spacing w:lineRule="auto" w:line="240" w:before="120" w:after="288"/>
        <w:ind w:left="1134" w:right="0" w:hanging="0"/>
        <w:jc w:val="both"/>
        <w:rPr>
          <w:rFonts w:ascii="Carlito" w:hAnsi="Carlito"/>
        </w:rPr>
      </w:pPr>
      <w:r>
        <w:rPr>
          <w:rFonts w:ascii="Carlito" w:hAnsi="Carlito"/>
          <w:b/>
          <w:bCs/>
          <w:i w:val="false"/>
          <w:iCs w:val="false"/>
          <w:color w:val="000000"/>
        </w:rPr>
        <w:t>25.11.3.</w:t>
        <w:tab/>
      </w:r>
      <w:r>
        <w:rPr>
          <w:rFonts w:ascii="Carlito" w:hAnsi="Carlito"/>
          <w:i w:val="false"/>
          <w:iCs w:val="false"/>
        </w:rPr>
        <w:t xml:space="preserve">A comprovação do capital social proporcional ao número de cooperados necessários à prestação do serviço; </w:t>
      </w:r>
    </w:p>
    <w:p>
      <w:pPr>
        <w:pStyle w:val="Nivel3"/>
        <w:widowControl/>
        <w:bidi w:val="0"/>
        <w:spacing w:lineRule="auto" w:line="240" w:before="120" w:after="288"/>
        <w:ind w:left="1134" w:right="0" w:hanging="0"/>
        <w:jc w:val="both"/>
        <w:rPr/>
      </w:pPr>
      <w:r>
        <w:rPr>
          <w:rFonts w:ascii="Carlito" w:hAnsi="Carlito"/>
          <w:b/>
          <w:bCs/>
          <w:i w:val="false"/>
          <w:iCs w:val="false"/>
          <w:color w:val="000000"/>
        </w:rPr>
        <w:t>25.11.4.</w:t>
        <w:tab/>
      </w:r>
      <w:r>
        <w:rPr>
          <w:rFonts w:ascii="Carlito" w:hAnsi="Carlito"/>
          <w:i w:val="false"/>
          <w:iCs w:val="false"/>
        </w:rPr>
        <w:t xml:space="preserve">O registro previsto na </w:t>
      </w:r>
      <w:hyperlink r:id="rId14">
        <w:r>
          <w:rPr>
            <w:rStyle w:val="LinkdaInternet"/>
            <w:rFonts w:ascii="Carlito" w:hAnsi="Carlito"/>
            <w:i w:val="false"/>
            <w:iCs w:val="false"/>
          </w:rPr>
          <w:t>Lei n. 5.764, de 1971, art. 107</w:t>
        </w:r>
      </w:hyperlink>
      <w:r>
        <w:rPr>
          <w:rFonts w:ascii="Carlito" w:hAnsi="Carlito"/>
          <w:i w:val="false"/>
          <w:iCs w:val="false"/>
        </w:rPr>
        <w:t>;</w:t>
      </w:r>
    </w:p>
    <w:p>
      <w:pPr>
        <w:pStyle w:val="Nivel3"/>
        <w:widowControl/>
        <w:bidi w:val="0"/>
        <w:spacing w:lineRule="auto" w:line="240" w:before="120" w:after="288"/>
        <w:ind w:left="1134" w:right="0" w:hanging="0"/>
        <w:jc w:val="both"/>
        <w:rPr>
          <w:rFonts w:ascii="Carlito" w:hAnsi="Carlito"/>
        </w:rPr>
      </w:pPr>
      <w:r>
        <w:rPr>
          <w:rFonts w:ascii="Carlito" w:hAnsi="Carlito"/>
          <w:b/>
          <w:bCs/>
          <w:i w:val="false"/>
          <w:iCs w:val="false"/>
          <w:color w:val="000000"/>
        </w:rPr>
        <w:t>25.11.5.</w:t>
        <w:tab/>
      </w:r>
      <w:r>
        <w:rPr>
          <w:rFonts w:ascii="Carlito" w:hAnsi="Carlito"/>
          <w:i w:val="false"/>
          <w:iCs w:val="false"/>
        </w:rPr>
        <w:t>A comprovação de integração das respectivas quotas-partes por parte dos cooperados que executarão o contrato;</w:t>
      </w:r>
    </w:p>
    <w:p>
      <w:pPr>
        <w:pStyle w:val="Nivel3"/>
        <w:widowControl/>
        <w:bidi w:val="0"/>
        <w:spacing w:lineRule="auto" w:line="240" w:before="120" w:after="288"/>
        <w:ind w:left="1134" w:right="0" w:hanging="0"/>
        <w:jc w:val="both"/>
        <w:rPr>
          <w:rFonts w:ascii="Carlito" w:hAnsi="Carlito"/>
        </w:rPr>
      </w:pPr>
      <w:r>
        <w:rPr>
          <w:rFonts w:ascii="Carlito" w:hAnsi="Carlito"/>
          <w:b/>
          <w:bCs/>
          <w:i w:val="false"/>
          <w:iCs w:val="false"/>
          <w:color w:val="000000"/>
        </w:rPr>
        <w:t>25.11.6.</w:t>
        <w:tab/>
      </w:r>
      <w:r>
        <w:rPr>
          <w:rFonts w:ascii="Carlito" w:hAnsi="Carlito"/>
          <w:i w:val="false"/>
          <w:iCs w:val="false"/>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widowControl/>
        <w:bidi w:val="0"/>
        <w:spacing w:lineRule="auto" w:line="240" w:before="120" w:after="288"/>
        <w:ind w:left="1134" w:right="0" w:hanging="0"/>
        <w:jc w:val="both"/>
        <w:rPr/>
      </w:pPr>
      <w:r>
        <w:rPr>
          <w:rFonts w:ascii="Carlito" w:hAnsi="Carlito"/>
          <w:b/>
          <w:bCs/>
          <w:i w:val="false"/>
          <w:iCs w:val="false"/>
          <w:color w:val="000000"/>
        </w:rPr>
        <w:t>25.11.7.</w:t>
        <w:tab/>
      </w:r>
      <w:commentRangeStart w:id="37"/>
      <w:r>
        <w:rPr>
          <w:rFonts w:ascii="Carlito" w:hAnsi="Carlito"/>
          <w:i w:val="false"/>
          <w:iCs w:val="false"/>
        </w:rPr>
        <w:t xml:space="preserve">A última auditoria contábil-financeira da cooperativa, conforme dispõe o </w:t>
      </w:r>
      <w:r>
        <w:fldChar w:fldCharType="begin"/>
      </w:r>
      <w:r>
        <w:rPr>
          <w:rStyle w:val="LinkdaInternet"/>
          <w:i w:val="false"/>
          <w:iCs w:val="false"/>
          <w:rFonts w:ascii="Carlito" w:hAnsi="Carlito"/>
        </w:rPr>
        <w:instrText> HYPERLINK "https://www.planalto.gov.br/ccivil_03/leis/l5764.htm" \l "art112"</w:instrText>
      </w:r>
      <w:r>
        <w:rPr>
          <w:rStyle w:val="LinkdaInternet"/>
          <w:i w:val="false"/>
          <w:iCs w:val="false"/>
          <w:rFonts w:ascii="Carlito" w:hAnsi="Carlito"/>
        </w:rPr>
        <w:fldChar w:fldCharType="separate"/>
      </w:r>
      <w:r>
        <w:rPr>
          <w:rStyle w:val="LinkdaInternet"/>
          <w:rFonts w:ascii="Carlito" w:hAnsi="Carlito"/>
          <w:i w:val="false"/>
          <w:iCs w:val="false"/>
        </w:rPr>
        <w:t>art. 112 da Lei n. 5.764, de 1971</w:t>
      </w:r>
      <w:r>
        <w:rPr>
          <w:rStyle w:val="LinkdaInternet"/>
          <w:i w:val="false"/>
          <w:iCs w:val="false"/>
          <w:rFonts w:ascii="Carlito" w:hAnsi="Carlito"/>
        </w:rPr>
        <w:fldChar w:fldCharType="end"/>
      </w:r>
      <w:r>
        <w:rPr>
          <w:rFonts w:ascii="Carlito" w:hAnsi="Carlito"/>
          <w:i w:val="false"/>
          <w:iCs w:val="false"/>
        </w:rPr>
        <w:t>, ou uma declaração, sob as penas da lei, de que tal auditoria não foi exigida pelo órgão fiscalizador</w:t>
      </w:r>
      <w:bookmarkStart w:id="9" w:name="_Hlk82473550"/>
      <w:bookmarkEnd w:id="9"/>
      <w:commentRangeEnd w:id="37"/>
      <w:r>
        <w:commentReference w:id="37"/>
      </w:r>
      <w:r>
        <w:rPr>
          <w:rFonts w:ascii="Carlito" w:hAnsi="Carlito"/>
          <w:i w:val="false"/>
          <w:iCs w:val="false"/>
        </w:rPr>
      </w:r>
    </w:p>
    <w:p>
      <w:pPr>
        <w:pStyle w:val="Nivel01"/>
        <w:spacing w:lineRule="auto" w:line="240" w:before="120" w:after="288"/>
        <w:ind w:left="0" w:hanging="0"/>
        <w:rPr>
          <w:sz w:val="24"/>
          <w:szCs w:val="24"/>
        </w:rPr>
      </w:pPr>
      <w:r>
        <w:rPr>
          <w:rFonts w:ascii="Carlito" w:hAnsi="Carlito"/>
          <w:i w:val="false"/>
          <w:iCs w:val="false"/>
          <w:sz w:val="24"/>
          <w:szCs w:val="24"/>
        </w:rPr>
        <w:t>26.</w:t>
        <w:tab/>
        <w:t>ESTIMATIVAS DO VALOR DA CONTRATAÇÃO</w:t>
      </w:r>
    </w:p>
    <w:p>
      <w:pPr>
        <w:pStyle w:val="Nivel2"/>
        <w:widowControl/>
        <w:bidi w:val="0"/>
        <w:spacing w:lineRule="auto" w:line="240" w:before="120" w:after="288"/>
        <w:ind w:left="0" w:right="0" w:firstLine="567"/>
        <w:jc w:val="both"/>
        <w:rPr/>
      </w:pPr>
      <w:r>
        <w:rPr>
          <w:rFonts w:ascii="Carlito" w:hAnsi="Carlito"/>
          <w:b/>
          <w:bCs/>
          <w:i w:val="false"/>
          <w:iCs w:val="false"/>
        </w:rPr>
        <w:t>26.1.</w:t>
        <w:tab/>
      </w:r>
      <w:commentRangeStart w:id="38"/>
      <w:r>
        <w:rPr>
          <w:rFonts w:ascii="Carlito" w:hAnsi="Carlito"/>
          <w:i w:val="false"/>
          <w:iCs w:val="false"/>
        </w:rPr>
        <w:t xml:space="preserve">O custo estimado total da contratação é de </w:t>
      </w:r>
      <w:r>
        <w:rPr>
          <w:rFonts w:ascii="Carlito" w:hAnsi="Carlito"/>
          <w:b/>
          <w:bCs/>
          <w:i w:val="false"/>
          <w:iCs w:val="false"/>
        </w:rPr>
        <w:t>R$ 1</w:t>
      </w:r>
      <w:r>
        <w:rPr>
          <w:rFonts w:ascii="Carlito" w:hAnsi="Carlito"/>
          <w:b/>
          <w:bCs/>
          <w:i w:val="false"/>
          <w:iCs w:val="false"/>
        </w:rPr>
        <w:t>91.667,87</w:t>
      </w:r>
      <w:r>
        <w:rPr>
          <w:rFonts w:ascii="Carlito" w:hAnsi="Carlito"/>
          <w:i w:val="false"/>
          <w:iCs w:val="false"/>
        </w:rPr>
        <w:t xml:space="preserve"> conforme custos unitários apostos </w:t>
      </w:r>
      <w:r>
        <w:rPr>
          <w:rFonts w:ascii="Carlito" w:hAnsi="Carlito"/>
          <w:i w:val="false"/>
          <w:iCs w:val="false"/>
          <w:color w:val="000000"/>
        </w:rPr>
        <w:t xml:space="preserve">no </w:t>
      </w:r>
      <w:r>
        <w:rPr>
          <w:rFonts w:ascii="Carlito" w:hAnsi="Carlito"/>
          <w:b/>
          <w:bCs/>
          <w:i w:val="false"/>
          <w:iCs w:val="false"/>
          <w:color w:val="000000"/>
        </w:rPr>
        <w:t>MAPA COMPARATIVO</w:t>
      </w:r>
      <w:r>
        <w:rPr>
          <w:rFonts w:ascii="Carlito" w:hAnsi="Carlito"/>
          <w:i w:val="false"/>
          <w:iCs w:val="false"/>
          <w:color w:val="000000"/>
        </w:rPr>
        <w:t xml:space="preserve"> em anexo.</w:t>
      </w:r>
      <w:r>
        <w:rPr>
          <w:rFonts w:ascii="Carlito" w:hAnsi="Carlito"/>
          <w:i w:val="false"/>
          <w:iCs w:val="false"/>
          <w:color w:val="000000"/>
        </w:rPr>
      </w:r>
      <w:commentRangeEnd w:id="38"/>
      <w:r>
        <w:commentReference w:id="38"/>
      </w:r>
      <w:r>
        <w:rPr/>
        <w:commentReference w:id="39"/>
      </w:r>
    </w:p>
    <w:p>
      <w:pPr>
        <w:pStyle w:val="Nvel2Red"/>
        <w:widowControl/>
        <w:bidi w:val="0"/>
        <w:spacing w:lineRule="auto" w:line="240" w:before="120" w:after="288"/>
        <w:ind w:left="0" w:right="0" w:firstLine="567"/>
        <w:jc w:val="both"/>
        <w:rPr>
          <w:rFonts w:ascii="Carlito" w:hAnsi="Carlito"/>
        </w:rPr>
      </w:pPr>
      <w:r>
        <w:rPr>
          <w:rFonts w:ascii="Carlito" w:hAnsi="Carlito"/>
          <w:b/>
          <w:bCs/>
          <w:i w:val="false"/>
          <w:iCs w:val="false"/>
          <w:color w:val="000000"/>
        </w:rPr>
        <w:t>26.2.</w:t>
        <w:tab/>
      </w:r>
      <w:commentRangeStart w:id="40"/>
      <w:r>
        <w:rPr>
          <w:rFonts w:ascii="Carlito" w:hAnsi="Carlito"/>
          <w:i w:val="false"/>
          <w:iCs w:val="false"/>
          <w:color w:val="000000"/>
        </w:rPr>
        <w:t>A estimativa de custo levou em consideração o risco envolvido na contratação e sua alocação entre contratante e contratado, conforme especificado na matriz de risco constante do Contrato.</w:t>
      </w:r>
      <w:commentRangeEnd w:id="40"/>
      <w:r>
        <w:commentReference w:id="40"/>
      </w:r>
      <w:r>
        <w:rPr>
          <w:rFonts w:ascii="Carlito" w:hAnsi="Carlito"/>
          <w:i w:val="false"/>
          <w:iCs w:val="false"/>
          <w:color w:val="000000"/>
        </w:rPr>
      </w:r>
    </w:p>
    <w:p>
      <w:pPr>
        <w:pStyle w:val="Nivel01"/>
        <w:spacing w:lineRule="auto" w:line="240" w:before="120" w:after="288"/>
        <w:ind w:left="0" w:hanging="0"/>
        <w:rPr>
          <w:sz w:val="24"/>
          <w:szCs w:val="24"/>
        </w:rPr>
      </w:pPr>
      <w:r>
        <w:rPr>
          <w:rFonts w:ascii="Carlito" w:hAnsi="Carlito"/>
          <w:i w:val="false"/>
          <w:iCs w:val="false"/>
          <w:sz w:val="24"/>
          <w:szCs w:val="24"/>
        </w:rPr>
        <w:t>27.</w:t>
        <w:tab/>
        <w:t>ADEQUAÇÃO ORÇAMENTÁRIA</w:t>
      </w:r>
    </w:p>
    <w:p>
      <w:pPr>
        <w:pStyle w:val="Nivel2"/>
        <w:widowControl/>
        <w:bidi w:val="0"/>
        <w:spacing w:lineRule="auto" w:line="240" w:before="120" w:after="288"/>
        <w:ind w:left="0" w:right="0" w:firstLine="567"/>
        <w:jc w:val="both"/>
        <w:rPr>
          <w:rFonts w:ascii="Carlito" w:hAnsi="Carlito"/>
        </w:rPr>
      </w:pPr>
      <w:r>
        <w:rPr>
          <w:rFonts w:eastAsia="Arial" w:ascii="Carlito" w:hAnsi="Carlito"/>
          <w:b/>
          <w:bCs/>
          <w:i w:val="false"/>
          <w:iCs w:val="false"/>
        </w:rPr>
        <w:t>27.1.</w:t>
        <w:tab/>
      </w:r>
      <w:r>
        <w:rPr>
          <w:rFonts w:eastAsia="Arial" w:ascii="Carlito" w:hAnsi="Carlito"/>
          <w:i w:val="false"/>
          <w:iCs w:val="false"/>
        </w:rPr>
        <w:t>As despesas decorrentes da presente contratação correrão à conta de recursos específicos consignados no Orçamento Geral da União.</w:t>
      </w:r>
    </w:p>
    <w:p>
      <w:pPr>
        <w:pStyle w:val="ListParagraph"/>
        <w:spacing w:lineRule="auto" w:line="240" w:before="120" w:after="288"/>
        <w:ind w:left="170" w:firstLine="709"/>
        <w:contextualSpacing/>
        <w:jc w:val="both"/>
        <w:rPr>
          <w:rFonts w:ascii="Carlito" w:hAnsi="Carlito"/>
        </w:rPr>
      </w:pPr>
      <w:r>
        <w:rPr>
          <w:rFonts w:eastAsia="Arial" w:cs="Arial" w:ascii="Carlito" w:hAnsi="Carlito"/>
          <w:i w:val="false"/>
          <w:iCs w:val="false"/>
          <w:sz w:val="20"/>
          <w:szCs w:val="20"/>
        </w:rPr>
        <w:t>A contratação será atendida pela seguinte dotação:</w:t>
      </w:r>
    </w:p>
    <w:p>
      <w:pPr>
        <w:pStyle w:val="ListParagraph"/>
        <w:widowControl/>
        <w:bidi w:val="0"/>
        <w:spacing w:lineRule="auto" w:line="240" w:before="120" w:after="288"/>
        <w:ind w:left="1134" w:right="0" w:hanging="0"/>
        <w:contextualSpacing/>
        <w:jc w:val="both"/>
        <w:rPr>
          <w:rFonts w:ascii="Carlito" w:hAnsi="Carlito"/>
        </w:rPr>
      </w:pPr>
      <w:r>
        <w:rPr>
          <w:rFonts w:eastAsia="Arial" w:cs="Arial" w:ascii="Carlito" w:hAnsi="Carlito"/>
          <w:b/>
          <w:bCs/>
          <w:i w:val="false"/>
          <w:iCs w:val="false"/>
          <w:sz w:val="20"/>
          <w:szCs w:val="20"/>
        </w:rPr>
        <w:t>I)</w:t>
      </w:r>
      <w:r>
        <w:rPr>
          <w:rFonts w:eastAsia="Arial" w:cs="Arial" w:ascii="Carlito" w:hAnsi="Carlito"/>
          <w:i w:val="false"/>
          <w:iCs w:val="false"/>
          <w:sz w:val="20"/>
          <w:szCs w:val="20"/>
        </w:rPr>
        <w:tab/>
        <w:tab/>
        <w:t xml:space="preserve">Gestão/Unidade: </w:t>
      </w:r>
      <w:r>
        <w:rPr>
          <w:rFonts w:eastAsia="Arial" w:cs="Arial" w:ascii="Carlito" w:hAnsi="Carlito"/>
          <w:b/>
          <w:bCs/>
          <w:i w:val="false"/>
          <w:iCs w:val="false"/>
          <w:color w:val="000000"/>
          <w:spacing w:val="0"/>
          <w:sz w:val="20"/>
          <w:szCs w:val="20"/>
        </w:rPr>
        <w:t>81000</w:t>
      </w:r>
    </w:p>
    <w:p>
      <w:pPr>
        <w:pStyle w:val="ListParagraph"/>
        <w:widowControl/>
        <w:bidi w:val="0"/>
        <w:spacing w:lineRule="auto" w:line="240" w:before="120" w:after="288"/>
        <w:ind w:left="1134" w:right="0" w:hanging="0"/>
        <w:contextualSpacing/>
        <w:jc w:val="both"/>
        <w:rPr>
          <w:rFonts w:ascii="Carlito" w:hAnsi="Carlito"/>
        </w:rPr>
      </w:pPr>
      <w:r>
        <w:rPr>
          <w:rFonts w:eastAsia="Arial" w:cs="Arial" w:ascii="Carlito" w:hAnsi="Carlito"/>
          <w:b/>
          <w:bCs/>
          <w:i w:val="false"/>
          <w:iCs w:val="false"/>
          <w:sz w:val="20"/>
          <w:szCs w:val="20"/>
        </w:rPr>
        <w:t>II)</w:t>
      </w:r>
      <w:r>
        <w:rPr>
          <w:rFonts w:eastAsia="Arial" w:cs="Arial" w:ascii="Carlito" w:hAnsi="Carlito"/>
          <w:i w:val="false"/>
          <w:iCs w:val="false"/>
          <w:sz w:val="20"/>
          <w:szCs w:val="20"/>
        </w:rPr>
        <w:tab/>
        <w:tab/>
        <w:t xml:space="preserve">Fonte de Recursos: </w:t>
      </w:r>
      <w:r>
        <w:rPr>
          <w:rFonts w:eastAsia="Ecofont_Spranq_eco_Sans" w:cs="Ecofont_Spranq_eco_Sans" w:ascii="Carlito" w:hAnsi="Carlito"/>
          <w:b/>
          <w:bCs/>
          <w:i w:val="false"/>
          <w:iCs w:val="false"/>
          <w:color w:val="000000"/>
          <w:spacing w:val="0"/>
          <w:sz w:val="20"/>
          <w:szCs w:val="20"/>
        </w:rPr>
        <w:t>1050000144</w:t>
      </w:r>
    </w:p>
    <w:p>
      <w:pPr>
        <w:pStyle w:val="ListParagraph"/>
        <w:widowControl/>
        <w:bidi w:val="0"/>
        <w:spacing w:lineRule="auto" w:line="240" w:before="120" w:after="288"/>
        <w:ind w:left="1134" w:right="0" w:hanging="0"/>
        <w:contextualSpacing/>
        <w:jc w:val="both"/>
        <w:rPr>
          <w:rFonts w:ascii="Carlito" w:hAnsi="Carlito"/>
        </w:rPr>
      </w:pPr>
      <w:r>
        <w:rPr>
          <w:rFonts w:eastAsia="Arial" w:cs="Arial" w:ascii="Carlito" w:hAnsi="Carlito"/>
          <w:b/>
          <w:bCs/>
          <w:i w:val="false"/>
          <w:iCs w:val="false"/>
          <w:sz w:val="20"/>
          <w:szCs w:val="20"/>
        </w:rPr>
        <w:t>III)</w:t>
      </w:r>
      <w:r>
        <w:rPr>
          <w:rFonts w:eastAsia="Arial" w:cs="Arial" w:ascii="Carlito" w:hAnsi="Carlito"/>
          <w:i w:val="false"/>
          <w:iCs w:val="false"/>
          <w:sz w:val="20"/>
          <w:szCs w:val="20"/>
        </w:rPr>
        <w:tab/>
        <w:t xml:space="preserve">Programa de Trabalho: </w:t>
      </w:r>
      <w:r>
        <w:rPr>
          <w:rFonts w:eastAsia="Arial" w:cs="Arial" w:ascii="Carlito" w:hAnsi="Carlito"/>
          <w:b/>
          <w:bCs/>
          <w:i w:val="false"/>
          <w:iCs w:val="false"/>
          <w:color w:val="000000"/>
          <w:sz w:val="20"/>
          <w:szCs w:val="20"/>
        </w:rPr>
        <w:t>174672</w:t>
      </w:r>
    </w:p>
    <w:p>
      <w:pPr>
        <w:pStyle w:val="ListParagraph"/>
        <w:widowControl/>
        <w:bidi w:val="0"/>
        <w:spacing w:lineRule="auto" w:line="240" w:before="120" w:after="288"/>
        <w:ind w:left="1134" w:right="0" w:hanging="0"/>
        <w:contextualSpacing/>
        <w:jc w:val="both"/>
        <w:rPr>
          <w:rFonts w:ascii="Carlito" w:hAnsi="Carlito"/>
        </w:rPr>
      </w:pPr>
      <w:r>
        <w:rPr>
          <w:rFonts w:eastAsia="Arial" w:cs="Arial" w:ascii="Carlito" w:hAnsi="Carlito"/>
          <w:b/>
          <w:bCs/>
          <w:i w:val="false"/>
          <w:iCs w:val="false"/>
          <w:sz w:val="20"/>
          <w:szCs w:val="20"/>
        </w:rPr>
        <w:t>IV)</w:t>
      </w:r>
      <w:r>
        <w:rPr>
          <w:rFonts w:eastAsia="Arial" w:cs="Arial" w:ascii="Carlito" w:hAnsi="Carlito"/>
          <w:i w:val="false"/>
          <w:iCs w:val="false"/>
          <w:sz w:val="20"/>
          <w:szCs w:val="20"/>
        </w:rPr>
        <w:tab/>
        <w:t xml:space="preserve">Elemento de Despesa: </w:t>
      </w:r>
      <w:r>
        <w:rPr>
          <w:rFonts w:eastAsia="Arial" w:cs="Arial" w:ascii="Carlito" w:hAnsi="Carlito"/>
          <w:b/>
          <w:bCs/>
          <w:i w:val="false"/>
          <w:iCs w:val="false"/>
          <w:color w:val="000000"/>
          <w:spacing w:val="0"/>
          <w:sz w:val="20"/>
          <w:szCs w:val="20"/>
        </w:rPr>
        <w:t>339039</w:t>
      </w:r>
    </w:p>
    <w:p>
      <w:pPr>
        <w:pStyle w:val="ListParagraph"/>
        <w:widowControl/>
        <w:bidi w:val="0"/>
        <w:spacing w:lineRule="auto" w:line="240" w:before="120" w:after="288"/>
        <w:ind w:left="1134" w:right="0" w:hanging="0"/>
        <w:contextualSpacing/>
        <w:jc w:val="both"/>
        <w:rPr>
          <w:rFonts w:ascii="Carlito" w:hAnsi="Carlito"/>
        </w:rPr>
      </w:pPr>
      <w:r>
        <w:rPr>
          <w:rFonts w:eastAsia="Arial" w:cs="Arial" w:ascii="Carlito" w:hAnsi="Carlito"/>
          <w:b/>
          <w:bCs/>
          <w:i w:val="false"/>
          <w:iCs w:val="false"/>
          <w:color w:val="000000"/>
          <w:sz w:val="20"/>
          <w:szCs w:val="20"/>
        </w:rPr>
        <w:t>V)</w:t>
      </w:r>
      <w:r>
        <w:rPr>
          <w:rFonts w:eastAsia="Arial" w:cs="Arial" w:ascii="Carlito" w:hAnsi="Carlito"/>
          <w:i w:val="false"/>
          <w:iCs w:val="false"/>
          <w:color w:val="000000"/>
          <w:sz w:val="20"/>
          <w:szCs w:val="20"/>
        </w:rPr>
        <w:tab/>
        <w:tab/>
        <w:t xml:space="preserve">Plano Interno: </w:t>
      </w:r>
      <w:r>
        <w:rPr>
          <w:rFonts w:eastAsia="Arial" w:cs="Arial" w:ascii="Carlito" w:hAnsi="Carlito"/>
          <w:b/>
          <w:bCs/>
          <w:i w:val="false"/>
          <w:iCs w:val="false"/>
          <w:color w:val="000000"/>
          <w:spacing w:val="0"/>
          <w:sz w:val="20"/>
          <w:szCs w:val="20"/>
        </w:rPr>
        <w:t>X448</w:t>
      </w:r>
      <w:r>
        <w:rPr>
          <w:rFonts w:eastAsia="Ecofont_Spranq_eco_Sans" w:cs="Ecofont_Spranq_eco_Sans" w:ascii="Carlito" w:hAnsi="Carlito"/>
          <w:b/>
          <w:bCs/>
          <w:i w:val="false"/>
          <w:iCs w:val="false"/>
          <w:color w:val="000000"/>
          <w:spacing w:val="0"/>
          <w:sz w:val="20"/>
          <w:szCs w:val="20"/>
        </w:rPr>
        <w:t>DV101B4</w:t>
      </w:r>
    </w:p>
    <w:p>
      <w:pPr>
        <w:pStyle w:val="Nvel2Red"/>
        <w:widowControl/>
        <w:bidi w:val="0"/>
        <w:spacing w:lineRule="auto" w:line="240" w:before="120" w:after="288"/>
        <w:ind w:left="0" w:right="0" w:firstLine="567"/>
        <w:jc w:val="both"/>
        <w:rPr/>
      </w:pPr>
      <w:r>
        <w:rPr>
          <w:rFonts w:ascii="Carlito" w:hAnsi="Carlito"/>
          <w:b/>
          <w:bCs/>
          <w:i w:val="false"/>
          <w:iCs w:val="false"/>
          <w:color w:val="000000"/>
        </w:rPr>
        <w:t>27.2.</w:t>
      </w:r>
      <w:r>
        <w:rPr>
          <w:rFonts w:ascii="Carlito" w:hAnsi="Carlito"/>
          <w:i w:val="false"/>
          <w:iCs w:val="false"/>
          <w:color w:val="000000"/>
        </w:rPr>
        <w:tab/>
        <w:t>A dotação relativa aos exercícios financeiros subsequentes será indicada após aprovação da Lei Orçamentária respectiva e liberação dos créditos correspondentes, mediante apostilamento.</w:t>
      </w:r>
    </w:p>
    <w:p>
      <w:pPr>
        <w:pStyle w:val="Nivel01"/>
        <w:widowControl/>
        <w:bidi w:val="0"/>
        <w:spacing w:lineRule="auto" w:line="240" w:before="120" w:after="288"/>
        <w:ind w:left="0" w:hanging="0"/>
        <w:jc w:val="both"/>
        <w:rPr/>
      </w:pPr>
      <w:r>
        <w:rPr>
          <w:rFonts w:ascii="Carlito" w:hAnsi="Carlito"/>
          <w:i w:val="false"/>
          <w:iCs w:val="false"/>
          <w:color w:val="000000"/>
          <w:sz w:val="24"/>
          <w:szCs w:val="24"/>
        </w:rPr>
        <w:t>28.</w:t>
        <w:tab/>
        <w:t>ANEXO</w:t>
      </w:r>
    </w:p>
    <w:p>
      <w:pPr>
        <w:pStyle w:val="Nivel2"/>
        <w:widowControl/>
        <w:numPr>
          <w:ilvl w:val="1"/>
          <w:numId w:val="2"/>
        </w:numPr>
        <w:bidi w:val="0"/>
        <w:spacing w:lineRule="auto" w:line="240" w:before="120" w:after="288"/>
        <w:ind w:left="0" w:right="0" w:firstLine="567"/>
        <w:jc w:val="both"/>
        <w:rPr/>
      </w:pPr>
      <w:r>
        <w:rPr>
          <w:rFonts w:ascii="Carlito" w:hAnsi="Carlito"/>
          <w:i w:val="false"/>
          <w:iCs w:val="false"/>
          <w:color w:val="000000"/>
        </w:rPr>
        <w:t>Integra este Termo de Referência, para todos os fins e efeitos, o seguinte anexo:</w:t>
      </w:r>
    </w:p>
    <w:p>
      <w:pPr>
        <w:pStyle w:val="Nivel2"/>
        <w:widowControl/>
        <w:numPr>
          <w:ilvl w:val="1"/>
          <w:numId w:val="2"/>
        </w:numPr>
        <w:bidi w:val="0"/>
        <w:spacing w:lineRule="auto" w:line="240" w:before="120" w:after="288"/>
        <w:ind w:left="0" w:right="0" w:firstLine="567"/>
        <w:jc w:val="both"/>
        <w:rPr/>
      </w:pPr>
      <w:r>
        <w:rPr>
          <w:rFonts w:eastAsia="Arial" w:ascii="Carlito" w:hAnsi="Carlito"/>
          <w:b/>
          <w:bCs/>
          <w:i w:val="false"/>
          <w:iCs w:val="false"/>
          <w:color w:val="000000"/>
        </w:rPr>
        <w:t>28.1.</w:t>
        <w:tab/>
      </w:r>
      <w:r>
        <w:rPr>
          <w:rFonts w:eastAsia="Arial" w:ascii="Carlito" w:hAnsi="Carlito"/>
          <w:b w:val="false"/>
          <w:bCs w:val="false"/>
          <w:i w:val="false"/>
          <w:iCs w:val="false"/>
          <w:color w:val="000000"/>
        </w:rPr>
        <w:t>Estudos Técnicos Preliminares</w:t>
      </w:r>
    </w:p>
    <w:p>
      <w:pPr>
        <w:pStyle w:val="Nvel2Red"/>
        <w:widowControl/>
        <w:bidi w:val="0"/>
        <w:spacing w:lineRule="auto" w:line="240" w:before="120" w:after="288"/>
        <w:ind w:left="0" w:right="0" w:firstLine="567"/>
        <w:jc w:val="both"/>
        <w:rPr>
          <w:rFonts w:ascii="Carlito" w:hAnsi="Carlito"/>
          <w:i w:val="false"/>
          <w:i w:val="false"/>
          <w:iCs w:val="false"/>
          <w:color w:val="000000"/>
        </w:rPr>
      </w:pPr>
      <w:r>
        <w:rPr>
          <w:rFonts w:ascii="Carlito" w:hAnsi="Carlito"/>
          <w:i w:val="false"/>
          <w:iCs w:val="false"/>
          <w:color w:val="000000"/>
        </w:rPr>
      </w:r>
    </w:p>
    <w:p>
      <w:pPr>
        <w:pStyle w:val="Normal"/>
        <w:widowControl/>
        <w:bidi w:val="0"/>
        <w:spacing w:lineRule="auto" w:line="240" w:before="0" w:after="0"/>
        <w:ind w:left="0" w:right="0" w:hanging="0"/>
        <w:jc w:val="right"/>
        <w:rPr/>
      </w:pPr>
      <w:r>
        <w:rPr>
          <w:rFonts w:eastAsia="Arial" w:cs="Arial" w:ascii="Carlito" w:hAnsi="Carlito"/>
          <w:i w:val="false"/>
          <w:iCs w:val="false"/>
          <w:color w:val="000000"/>
          <w:spacing w:val="0"/>
          <w:sz w:val="20"/>
          <w:szCs w:val="20"/>
        </w:rPr>
        <w:t>Rio de Janeiro,          de                                  de              .</w:t>
      </w:r>
    </w:p>
    <w:p>
      <w:pPr>
        <w:pStyle w:val="Nvel2Red"/>
        <w:widowControl/>
        <w:bidi w:val="0"/>
        <w:spacing w:lineRule="auto" w:line="240" w:before="120" w:after="288"/>
        <w:ind w:left="0" w:right="0" w:firstLine="567"/>
        <w:jc w:val="both"/>
        <w:rPr>
          <w:rFonts w:ascii="Carlito" w:hAnsi="Carlito" w:eastAsia="Arial" w:cs="Arial"/>
          <w:i w:val="false"/>
          <w:i w:val="false"/>
          <w:iCs w:val="false"/>
          <w:color w:val="000000"/>
          <w:spacing w:val="0"/>
          <w:sz w:val="20"/>
          <w:szCs w:val="20"/>
        </w:rPr>
      </w:pPr>
      <w:r>
        <w:rPr>
          <w:rFonts w:eastAsia="Arial" w:cs="Arial" w:ascii="Carlito" w:hAnsi="Carlito"/>
          <w:i w:val="false"/>
          <w:iCs w:val="false"/>
          <w:color w:val="000000"/>
          <w:spacing w:val="0"/>
          <w:sz w:val="20"/>
          <w:szCs w:val="20"/>
        </w:rPr>
      </w:r>
    </w:p>
    <w:p>
      <w:pPr>
        <w:pStyle w:val="Normal"/>
        <w:widowControl w:val="false"/>
        <w:spacing w:lineRule="auto" w:line="240"/>
        <w:jc w:val="center"/>
        <w:rPr>
          <w:rFonts w:ascii="CALIBRI" w:hAnsi="CALIBRI"/>
          <w:color w:val="000000"/>
          <w:sz w:val="24"/>
          <w:szCs w:val="24"/>
        </w:rPr>
      </w:pPr>
      <w:r>
        <w:rPr>
          <w:rFonts w:ascii="CALIBRI" w:hAnsi="CALIBRI"/>
          <w:color w:val="000000"/>
          <w:sz w:val="24"/>
          <w:szCs w:val="24"/>
        </w:rPr>
      </w:r>
    </w:p>
    <w:p>
      <w:pPr>
        <w:pStyle w:val="Normal"/>
        <w:widowControl w:val="false"/>
        <w:tabs>
          <w:tab w:val="clear" w:pos="708"/>
          <w:tab w:val="left" w:pos="1140" w:leader="none"/>
          <w:tab w:val="left" w:pos="3570" w:leader="none"/>
          <w:tab w:val="left" w:pos="5220" w:leader="none"/>
        </w:tabs>
        <w:spacing w:lineRule="auto" w:line="240"/>
        <w:ind w:left="0" w:right="0" w:hanging="0"/>
        <w:jc w:val="center"/>
        <w:rPr>
          <w:rFonts w:ascii="Calibri" w:hAnsi="Calibri"/>
          <w:color w:val="000000"/>
          <w:sz w:val="24"/>
          <w:szCs w:val="24"/>
        </w:rPr>
      </w:pPr>
      <w:r>
        <w:rPr>
          <w:rStyle w:val="Fontepargpadro"/>
          <w:rFonts w:eastAsia="Times New Roman" w:cs="Times New Roman" w:ascii="Carlito" w:hAnsi="Carlito"/>
          <w:b w:val="false"/>
          <w:bCs w:val="false"/>
          <w:i w:val="false"/>
          <w:strike w:val="false"/>
          <w:dstrike w:val="false"/>
          <w:outline w:val="false"/>
          <w:shadow w:val="false"/>
          <w:color w:val="000000"/>
          <w:kern w:val="2"/>
          <w:position w:val="0"/>
          <w:sz w:val="20"/>
          <w:sz w:val="20"/>
          <w:szCs w:val="20"/>
          <w:u w:val="none"/>
          <w:vertAlign w:val="baseline"/>
          <w:em w:val="none"/>
          <w:lang w:val="pt-BR" w:eastAsia="zh-CN" w:bidi="ar-SA"/>
        </w:rPr>
        <w:t>EDER DOMINGUES DE</w:t>
      </w:r>
      <w:r>
        <w:rPr>
          <w:rStyle w:val="Fontepargpadro"/>
          <w:rFonts w:eastAsia="Times New Roman" w:cs="Times New Roman" w:ascii="Carlito" w:hAnsi="Carlito"/>
          <w:b/>
          <w:bCs w:val="false"/>
          <w:i w:val="false"/>
          <w:strike w:val="false"/>
          <w:dstrike w:val="false"/>
          <w:outline w:val="false"/>
          <w:shadow w:val="false"/>
          <w:color w:val="000000"/>
          <w:kern w:val="2"/>
          <w:position w:val="0"/>
          <w:sz w:val="20"/>
          <w:sz w:val="20"/>
          <w:szCs w:val="20"/>
          <w:u w:val="none"/>
          <w:vertAlign w:val="baseline"/>
          <w:em w:val="none"/>
          <w:lang w:val="pt-BR" w:eastAsia="zh-CN" w:bidi="ar-SA"/>
        </w:rPr>
        <w:t xml:space="preserve"> SALLES</w:t>
      </w:r>
    </w:p>
    <w:p>
      <w:pPr>
        <w:pStyle w:val="Normal"/>
        <w:widowControl w:val="false"/>
        <w:tabs>
          <w:tab w:val="clear" w:pos="708"/>
          <w:tab w:val="left" w:pos="1140" w:leader="none"/>
          <w:tab w:val="left" w:pos="3570" w:leader="none"/>
          <w:tab w:val="left" w:pos="5220" w:leader="none"/>
        </w:tabs>
        <w:spacing w:lineRule="auto" w:line="240"/>
        <w:jc w:val="center"/>
        <w:rPr>
          <w:rFonts w:ascii="CALIBRI" w:hAnsi="CALIBRI"/>
          <w:color w:val="000000"/>
          <w:sz w:val="24"/>
          <w:szCs w:val="24"/>
        </w:rPr>
      </w:pPr>
      <w:r>
        <w:rPr>
          <w:rFonts w:ascii="Carlito" w:hAnsi="Carlito"/>
          <w:color w:val="000000"/>
          <w:sz w:val="20"/>
          <w:szCs w:val="20"/>
        </w:rPr>
        <w:t>Segundo-Tenente (AA)</w:t>
      </w:r>
    </w:p>
    <w:p>
      <w:pPr>
        <w:pStyle w:val="Normal"/>
        <w:widowControl w:val="false"/>
        <w:spacing w:lineRule="auto" w:line="240"/>
        <w:jc w:val="center"/>
        <w:rPr>
          <w:sz w:val="20"/>
          <w:szCs w:val="20"/>
        </w:rPr>
      </w:pPr>
      <w:r>
        <w:rPr>
          <w:rFonts w:ascii="Carlito" w:hAnsi="Carlito"/>
          <w:color w:val="000000"/>
          <w:sz w:val="20"/>
          <w:szCs w:val="20"/>
        </w:rPr>
        <w:t>Encarregado da Divisão de Transportes</w:t>
      </w:r>
    </w:p>
    <w:p>
      <w:pPr>
        <w:pStyle w:val="Normal"/>
        <w:widowControl w:val="false"/>
        <w:spacing w:lineRule="auto" w:line="240"/>
        <w:jc w:val="center"/>
        <w:rPr>
          <w:rFonts w:ascii="Carlito" w:hAnsi="Carlito"/>
          <w:color w:val="000000"/>
          <w:sz w:val="24"/>
          <w:szCs w:val="24"/>
        </w:rPr>
      </w:pPr>
      <w:r>
        <w:rPr>
          <w:rFonts w:ascii="Carlito" w:hAnsi="Carlito"/>
          <w:color w:val="000000"/>
          <w:sz w:val="24"/>
          <w:szCs w:val="24"/>
        </w:rPr>
      </w:r>
    </w:p>
    <w:p>
      <w:pPr>
        <w:pStyle w:val="Normal"/>
        <w:widowControl w:val="false"/>
        <w:spacing w:lineRule="auto" w:line="240"/>
        <w:jc w:val="center"/>
        <w:rPr>
          <w:rFonts w:ascii="Carlito" w:hAnsi="Carlito"/>
          <w:color w:val="000000"/>
          <w:sz w:val="24"/>
          <w:szCs w:val="24"/>
        </w:rPr>
      </w:pPr>
      <w:r>
        <w:rPr>
          <w:rFonts w:ascii="Carlito" w:hAnsi="Carlito"/>
          <w:color w:val="000000"/>
          <w:sz w:val="24"/>
          <w:szCs w:val="24"/>
        </w:rPr>
      </w:r>
    </w:p>
    <w:p>
      <w:pPr>
        <w:pStyle w:val="Normal"/>
        <w:widowControl w:val="false"/>
        <w:spacing w:lineRule="auto" w:line="240"/>
        <w:jc w:val="left"/>
        <w:rPr/>
      </w:pPr>
      <w:r>
        <w:rPr>
          <w:rFonts w:ascii="Carlito" w:hAnsi="Carlito"/>
          <w:color w:val="000000"/>
          <w:sz w:val="24"/>
          <w:szCs w:val="24"/>
        </w:rPr>
        <w:t>Aprovo este documento.</w:t>
      </w:r>
    </w:p>
    <w:p>
      <w:pPr>
        <w:pStyle w:val="Normal"/>
        <w:widowControl w:val="false"/>
        <w:spacing w:lineRule="auto" w:line="240"/>
        <w:jc w:val="left"/>
        <w:rPr>
          <w:rFonts w:ascii="Carlito" w:hAnsi="Carlito"/>
          <w:color w:val="000000"/>
          <w:sz w:val="24"/>
          <w:szCs w:val="24"/>
        </w:rPr>
      </w:pPr>
      <w:r>
        <w:rPr>
          <w:rFonts w:ascii="Carlito" w:hAnsi="Carlito"/>
          <w:color w:val="000000"/>
          <w:sz w:val="24"/>
          <w:szCs w:val="24"/>
        </w:rPr>
      </w:r>
    </w:p>
    <w:p>
      <w:pPr>
        <w:pStyle w:val="Normal"/>
        <w:spacing w:lineRule="auto" w:line="240" w:before="0" w:after="0"/>
        <w:ind w:left="0" w:right="0" w:hanging="0"/>
        <w:jc w:val="right"/>
        <w:rPr/>
      </w:pPr>
      <w:r>
        <w:rPr>
          <w:rFonts w:cs="Arial" w:ascii="Carlito" w:hAnsi="Carlito"/>
          <w:i w:val="false"/>
          <w:iCs w:val="false"/>
          <w:color w:val="000000"/>
          <w:sz w:val="20"/>
          <w:szCs w:val="20"/>
        </w:rPr>
        <w:t>Rio de Janeiro,          de                                  de              .</w:t>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Carlito" w:hAnsi="Carlito"/>
          <w:b w:val="false"/>
          <w:bCs w:val="false"/>
          <w:color w:val="000000"/>
          <w:sz w:val="20"/>
          <w:szCs w:val="20"/>
        </w:rPr>
        <w:t>ANDERSON SOARES SILVA</w:t>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Carlito" w:hAnsi="Carlito"/>
          <w:b w:val="false"/>
          <w:bCs w:val="false"/>
          <w:color w:val="000000"/>
          <w:sz w:val="20"/>
          <w:szCs w:val="20"/>
        </w:rPr>
        <w:t>Capitão de Mar e Guerra (IM)</w:t>
      </w:r>
    </w:p>
    <w:p>
      <w:pPr>
        <w:pStyle w:val="LONormal"/>
        <w:widowControl/>
        <w:tabs>
          <w:tab w:val="clear" w:pos="708"/>
        </w:tabs>
        <w:suppressAutoHyphens w:val="true"/>
        <w:bidi w:val="0"/>
        <w:snapToGrid w:val="false"/>
        <w:spacing w:lineRule="auto" w:line="240" w:before="0" w:after="0"/>
        <w:ind w:left="0" w:right="0" w:hanging="0"/>
        <w:jc w:val="center"/>
        <w:rPr/>
      </w:pPr>
      <w:bookmarkStart w:id="10" w:name="_Hlk824735501"/>
      <w:bookmarkEnd w:id="10"/>
      <w:r>
        <w:rPr>
          <w:rStyle w:val="Fontepargpadro"/>
          <w:rFonts w:eastAsia="Times New Roman" w:cs="Calibri" w:ascii="Carlito" w:hAnsi="Carlito"/>
          <w:b w:val="false"/>
          <w:bCs w:val="false"/>
          <w:i w:val="false"/>
          <w:iCs/>
          <w:caps w:val="false"/>
          <w:smallCaps w:val="false"/>
          <w:color w:val="000000"/>
          <w:spacing w:val="0"/>
          <w:kern w:val="0"/>
          <w:sz w:val="20"/>
          <w:szCs w:val="20"/>
          <w:lang w:val="pt-BR" w:eastAsia="pt-BR" w:bidi="ar-SA"/>
        </w:rPr>
        <w:t>Ordenador de Despesas</w:t>
      </w:r>
    </w:p>
    <w:sectPr>
      <w:headerReference w:type="default" r:id="rId15"/>
      <w:footerReference w:type="default" r:id="rId16"/>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Orientação Normativa AGU nº 54/2014</w:t>
      </w:r>
      <w:r>
        <w:rPr>
          <w:rFonts w:ascii="Liberation Serif" w:hAnsi="Liberation Serif" w:eastAsia="DejaVu Sans" w:cs="DejaVu Sans"/>
          <w:i/>
          <w:iCs/>
          <w:color w:val="000000"/>
          <w:lang w:val="en-US" w:eastAsia="en-US" w:bidi="en-US"/>
        </w:rPr>
        <w:t>: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1"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u w:val="single"/>
          <w:lang w:val="en-US" w:eastAsia="en-US" w:bidi="en-US"/>
        </w:rPr>
        <w:t>Enquadramento da Contratação para fins de vigência -</w:t>
      </w:r>
      <w:r>
        <w:rPr>
          <w:rFonts w:ascii="Liberation Serif" w:hAnsi="Liberation Serif" w:eastAsia="DejaVu Sans" w:cs="DejaVu Sans"/>
          <w:i/>
          <w:iCs/>
          <w:color w:val="000000"/>
          <w:lang w:val="en-US" w:eastAsia="en-US" w:bidi="en-US"/>
        </w:rPr>
        <w:t xml:space="preserve"> Há dois tipos de contratação por licitação para fornecimento de serviços, no que tange à vigência: </w:t>
      </w:r>
    </w:p>
    <w:p>
      <w:r>
        <w:rPr>
          <w:rFonts w:ascii="Liberation Serif" w:hAnsi="Liberation Serif" w:eastAsia="DejaVu Sans" w:cs="DejaVu Sans"/>
          <w:i/>
          <w:iCs/>
          <w:color w:val="000000"/>
          <w:lang w:val="en-US" w:eastAsia="en-US" w:bidi="en-US"/>
        </w:rPr>
        <w:t xml:space="preserve">a) Há </w:t>
      </w:r>
      <w:r>
        <w:rPr>
          <w:rFonts w:ascii="Liberation Serif" w:hAnsi="Liberation Serif" w:eastAsia="DejaVu Sans" w:cs="DejaVu Sans"/>
          <w:b/>
          <w:bCs/>
          <w:i/>
          <w:iCs/>
          <w:color w:val="000000"/>
          <w:lang w:val="en-US" w:eastAsia="en-US" w:bidi="en-US"/>
        </w:rPr>
        <w:t>serviços não contínuos</w:t>
      </w:r>
      <w:r>
        <w:rPr>
          <w:rFonts w:ascii="Liberation Serif" w:hAnsi="Liberation Serif" w:eastAsia="DejaVu Sans" w:cs="DejaVu Sans"/>
          <w:i/>
          <w:iCs/>
          <w:color w:val="000000"/>
          <w:lang w:val="en-US" w:eastAsia="en-US" w:bidi="en-US"/>
        </w:rPr>
        <w:t xml:space="preserve"> quando se trata de um serviço sem que haja uma demanda de caráter permanente. Uma vez finalizado, resolve-se a necessidade que deu azo ao contrato. Estes usam o </w:t>
      </w:r>
      <w:r>
        <w:rPr>
          <w:rFonts w:ascii="Liberation Serif" w:hAnsi="Liberation Serif" w:eastAsia="DejaVu Sans" w:cs="DejaVu Sans"/>
          <w:lang w:val="en-US" w:eastAsia="en-US" w:bidi="en-US"/>
        </w:rPr>
        <w:t>art.105da Lei nº 14.133, de 2021</w:t>
      </w:r>
      <w:r>
        <w:rPr>
          <w:rFonts w:ascii="Liberation Serif" w:hAnsi="Liberation Serif" w:eastAsia="DejaVu Sans" w:cs="DejaVu Sans"/>
          <w:b/>
          <w:bCs/>
          <w:i/>
          <w:iCs/>
          <w:color w:val="000000"/>
          <w:lang w:val="en-US" w:eastAsia="en-US" w:bidi="en-US"/>
        </w:rPr>
        <w:t>,</w:t>
      </w:r>
      <w:r>
        <w:rPr>
          <w:rFonts w:ascii="Liberation Serif" w:hAnsi="Liberation Serif" w:eastAsia="DejaVu Sans" w:cs="DejaVu Sans"/>
          <w:i/>
          <w:iCs/>
          <w:color w:val="000000"/>
          <w:lang w:val="en-US" w:eastAsia="en-US" w:bidi="en-US"/>
        </w:rPr>
        <w:t xml:space="preserve"> como fundamento e partem apenas de créditos do exercício corrente, salvo se inscritos no Plano Plurianual.</w:t>
      </w:r>
    </w:p>
    <w:p>
      <w:r>
        <w:rPr>
          <w:rFonts w:ascii="Liberation Serif" w:hAnsi="Liberation Serif" w:eastAsia="DejaVu Sans" w:cs="DejaVu Sans"/>
          <w:i/>
          <w:iCs/>
          <w:color w:val="000000"/>
          <w:lang w:val="en-US" w:eastAsia="en-US" w:bidi="en-US"/>
        </w:rPr>
        <w:t xml:space="preserve">b) Há </w:t>
      </w:r>
      <w:r>
        <w:rPr>
          <w:rFonts w:ascii="Liberation Serif" w:hAnsi="Liberation Serif" w:eastAsia="DejaVu Sans" w:cs="DejaVu Sans"/>
          <w:b/>
          <w:bCs/>
          <w:i/>
          <w:iCs/>
          <w:color w:val="000000"/>
          <w:lang w:val="en-US" w:eastAsia="en-US" w:bidi="en-US"/>
        </w:rPr>
        <w:t xml:space="preserve">serviços contínuos </w:t>
      </w:r>
      <w:r>
        <w:rPr>
          <w:rFonts w:ascii="Liberation Serif" w:hAnsi="Liberation Serif" w:eastAsia="DejaVu Sans" w:cs="DejaVu Sans"/>
          <w:i/>
          <w:iCs/>
          <w:color w:val="000000"/>
          <w:lang w:val="en-US" w:eastAsia="en-US" w:bidi="en-US"/>
        </w:rPr>
        <w:t xml:space="preserve">quando o serviço é uma necessidade permanente. É o caso, por exemplo, de serviços de limpeza e segurança essenciais para o funcionamento do órgão público. Nessas situações, findado o contrato, haverá sua substituição por um novo e assim, sucessivamente, pois a necessidade em si é permanente. Contratações dessa natureza são atendidas pelo </w:t>
      </w:r>
      <w:r>
        <w:rPr>
          <w:rFonts w:ascii="Liberation Serif" w:hAnsi="Liberation Serif" w:eastAsia="DejaVu Sans" w:cs="DejaVu Sans"/>
          <w:lang w:val="en-US" w:eastAsia="en-US" w:bidi="en-US"/>
        </w:rPr>
        <w:t>art. 106 da Lei nº 14.133, de 2021</w:t>
      </w:r>
      <w:r>
        <w:rPr>
          <w:rFonts w:ascii="Liberation Serif" w:hAnsi="Liberation Serif" w:eastAsia="DejaVu Sans" w:cs="DejaVu Sans"/>
          <w:i/>
          <w:iCs/>
          <w:color w:val="000000"/>
          <w:lang w:val="en-US" w:eastAsia="en-US" w:bidi="en-US"/>
        </w:rPr>
        <w:t xml:space="preserve"> Atente-se que há modelo de Termo de Referência específico para serviços continuados com dedicação exclusiva de mão-de-obra.</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u w:val="single"/>
          <w:lang w:val="en-US" w:eastAsia="en-US" w:bidi="en-US"/>
        </w:rPr>
        <w:t xml:space="preserve">Prazo de Vigência e Empenho - </w:t>
      </w:r>
      <w:r>
        <w:rPr>
          <w:rFonts w:ascii="Liberation Serif" w:hAnsi="Liberation Serif" w:eastAsia="DejaVu Sans" w:cs="DejaVu Sans"/>
          <w:lang w:val="en-US" w:eastAsia="en-US" w:bidi="en-US"/>
        </w:rPr>
        <w:t>art. 105 da Lei nº 14.133, de 2021</w:t>
      </w:r>
      <w:r>
        <w:rPr>
          <w:rFonts w:ascii="Liberation Serif" w:hAnsi="Liberation Serif" w:eastAsia="DejaVu Sans" w:cs="DejaVu Sans"/>
          <w:i/>
          <w:iCs/>
          <w:color w:val="000000"/>
          <w:u w:val="single"/>
          <w:lang w:val="en-US" w:eastAsia="en-US" w:bidi="en-US"/>
        </w:rPr>
        <w:t xml:space="preserve"> – Serviço Não-Contínuo:</w:t>
      </w:r>
      <w:r>
        <w:rPr>
          <w:rFonts w:ascii="Liberation Serif" w:hAnsi="Liberation Serif" w:eastAsia="DejaVu Sans" w:cs="DejaVu Sans"/>
          <w:b/>
          <w:bCs/>
          <w:i/>
          <w:iCs/>
          <w:color w:val="000000"/>
          <w:lang w:val="en-US" w:eastAsia="en-US" w:bidi="en-US"/>
        </w:rPr>
        <w:t xml:space="preserve"> </w:t>
      </w:r>
      <w:r>
        <w:rPr>
          <w:rFonts w:ascii="Liberation Serif" w:hAnsi="Liberation Serif" w:eastAsia="DejaVu Sans" w:cs="DejaVu Sans"/>
          <w:i/>
          <w:iCs/>
          <w:color w:val="000000"/>
          <w:lang w:val="en-US" w:eastAsia="en-US" w:bidi="en-US"/>
        </w:rPr>
        <w:t xml:space="preserve">Em caso de serviço não contínuo, o prazo de vigência deve ser o suficiente para a finalização do objeto e adoção das providências previstas no contrato, sendo a contratação limitada pelos respectivos créditos orçamentários. </w:t>
      </w:r>
    </w:p>
    <w:p>
      <w:r>
        <w:rPr>
          <w:rFonts w:ascii="Liberation Serif" w:hAnsi="Liberation Serif" w:eastAsia="DejaVu Sans" w:cs="DejaVu Sans"/>
          <w:i/>
          <w:iCs/>
          <w:color w:val="000000"/>
          <w:lang w:val="en-US" w:eastAsia="en-US" w:bidi="en-US"/>
        </w:rPr>
        <w:t xml:space="preserve">Uma contratação que não tenha previsão no Plano Plurianual deve ter a sua integralidade empenhada antes ou de modo concomitante à celebração, conforme </w:t>
      </w:r>
      <w:r>
        <w:rPr>
          <w:rFonts w:ascii="Liberation Serif" w:hAnsi="Liberation Serif" w:eastAsia="DejaVu Sans" w:cs="DejaVu Sans"/>
          <w:lang w:val="en-US" w:eastAsia="en-US" w:bidi="en-US"/>
        </w:rPr>
        <w:t>Lei nº 4.320, de 17 de março 1964</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lang w:val="en-US" w:eastAsia="en-US" w:bidi="en-US"/>
        </w:rPr>
        <w:t>Decreto nº 93.872, de 23 de dezembro de 1986</w:t>
      </w:r>
      <w:r>
        <w:rPr>
          <w:rFonts w:ascii="Liberation Serif" w:hAnsi="Liberation Serif" w:eastAsia="DejaVu Sans" w:cs="DejaVu Sans"/>
          <w:i/>
          <w:iCs/>
          <w:color w:val="000000"/>
          <w:lang w:val="en-US" w:eastAsia="en-US" w:bidi="en-US"/>
        </w:rPr>
        <w:t>, e a partir de tal empenho ter a vigência necessária prevista, utilizando-se de restos a pagar, se for o caso (</w:t>
      </w:r>
      <w:r>
        <w:rPr>
          <w:rFonts w:ascii="Liberation Serif" w:hAnsi="Liberation Serif" w:eastAsia="DejaVu Sans" w:cs="DejaVu Sans"/>
          <w:lang w:val="en-US" w:eastAsia="en-US" w:bidi="en-US"/>
        </w:rPr>
        <w:t>art. 30, §2º do Decreto nº 93.872, de 1986</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Já a contratação prevista no Plano Plurianual pode ter empenhos em anos distintos, considerando a despesa de cada exercício, apenas quanto ao período abrangido pelo PPA.</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u w:val="single"/>
          <w:lang w:val="en-US" w:eastAsia="en-US" w:bidi="en-US"/>
        </w:rPr>
        <w:t xml:space="preserve">Prazo de Vigência – </w:t>
      </w:r>
      <w:r>
        <w:rPr>
          <w:rFonts w:ascii="Liberation Serif" w:hAnsi="Liberation Serif" w:eastAsia="DejaVu Sans" w:cs="DejaVu Sans"/>
          <w:lang w:val="en-US" w:eastAsia="en-US" w:bidi="en-US"/>
        </w:rPr>
        <w:t>arts. 106 e 107</w:t>
      </w:r>
      <w:r>
        <w:rPr>
          <w:rFonts w:ascii="Liberation Serif" w:hAnsi="Liberation Serif" w:eastAsia="DejaVu Sans" w:cs="DejaVu Sans"/>
          <w:i/>
          <w:iCs/>
          <w:color w:val="000000"/>
          <w:u w:val="single"/>
          <w:lang w:val="en-US" w:eastAsia="en-US" w:bidi="en-US"/>
        </w:rPr>
        <w:t xml:space="preserve"> – Serviço Contínuo:</w:t>
      </w:r>
      <w:r>
        <w:rPr>
          <w:rFonts w:ascii="Liberation Serif" w:hAnsi="Liberation Serif" w:eastAsia="DejaVu Sans" w:cs="DejaVu Sans"/>
          <w:b/>
          <w:bCs/>
          <w:i/>
          <w:iCs/>
          <w:color w:val="000000"/>
          <w:lang w:val="en-US" w:eastAsia="en-US" w:bidi="en-US"/>
        </w:rPr>
        <w:t xml:space="preserve"> </w:t>
      </w:r>
      <w:r>
        <w:rPr>
          <w:rFonts w:ascii="Liberation Serif" w:hAnsi="Liberation Serif" w:eastAsia="DejaVu Sans" w:cs="DejaVu Sans"/>
          <w:i/>
          <w:iCs/>
          <w:color w:val="000000"/>
          <w:lang w:val="en-US" w:eastAsia="en-US" w:bidi="en-US"/>
        </w:rPr>
        <w:t xml:space="preserve">A definição de serviço contínuo consta no </w:t>
      </w:r>
      <w:r>
        <w:rPr>
          <w:rFonts w:ascii="Liberation Serif" w:hAnsi="Liberation Serif" w:eastAsia="DejaVu Sans" w:cs="DejaVu Sans"/>
          <w:lang w:val="en-US" w:eastAsia="en-US" w:bidi="en-US"/>
        </w:rPr>
        <w:t>art. 6º, XV da Lei nº 14.133, de 2021</w:t>
      </w:r>
      <w:r>
        <w:rPr>
          <w:rFonts w:ascii="Liberation Serif" w:hAnsi="Liberation Serif" w:eastAsia="DejaVu Sans" w:cs="DejaVu Sans"/>
          <w:i/>
          <w:iCs/>
          <w:color w:val="000000"/>
          <w:lang w:val="en-US" w:eastAsia="en-US" w:bidi="en-US"/>
        </w:rPr>
        <w:t>, sendo os “serviços contratados para a manutenção da atividade administrativa, decorrentes de necessidades permanentes ou prolongadas”.</w:t>
      </w:r>
    </w:p>
    <w:p>
      <w:r>
        <w:rPr>
          <w:rFonts w:ascii="Liberation Serif" w:hAnsi="Liberation Serif" w:eastAsia="DejaVu Sans" w:cs="DejaVu Sans"/>
          <w:i/>
          <w:iCs/>
          <w:color w:val="000000"/>
          <w:lang w:val="en-US" w:eastAsia="en-US" w:bidi="en-US"/>
        </w:rPr>
        <w:t xml:space="preserve">A utilização do prazo de vigência plurianual no caso de fornecimento contínuo é condicionada ao ateste de maior vantagem econômica, a ser feita pela autoridade competente no processo respectivo, conforme </w:t>
      </w:r>
      <w:r>
        <w:rPr>
          <w:rFonts w:ascii="Liberation Serif" w:hAnsi="Liberation Serif" w:eastAsia="DejaVu Sans" w:cs="DejaVu Sans"/>
          <w:lang w:val="en-US" w:eastAsia="en-US" w:bidi="en-US"/>
        </w:rPr>
        <w:t>art. 106, I da Lei nº 14.133, de 2021.</w:t>
      </w:r>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i/>
          <w:iCs/>
          <w:color w:val="000000"/>
          <w:lang w:val="en-US" w:eastAsia="en-US" w:bidi="en-US"/>
        </w:rPr>
        <w:t xml:space="preserve">De acordo com o </w:t>
      </w:r>
      <w:r>
        <w:rPr>
          <w:rFonts w:ascii="Liberation Serif" w:hAnsi="Liberation Serif" w:eastAsia="DejaVu Sans" w:cs="DejaVu Sans"/>
          <w:lang w:val="en-US" w:eastAsia="en-US" w:bidi="en-US"/>
        </w:rPr>
        <w:t>artigo 107 da Lei nº 14.133, de 2021</w:t>
      </w:r>
      <w:r>
        <w:rPr>
          <w:rFonts w:ascii="Liberation Serif" w:hAnsi="Liberation Serif" w:eastAsia="DejaVu Sans" w:cs="DejaVu Sans"/>
          <w:i/>
          <w:iCs/>
          <w:color w:val="000000"/>
          <w:lang w:val="en-US" w:eastAsia="en-US" w:bidi="en-US"/>
        </w:rPr>
        <w:t>, será possível que contratos de serviço contínuo sejam prorrogados por até 10 anos, desde que haja previsão no edital e/ou contrato e que a autoridade competente ateste que as condições e os preços permanecem vantajosos para a Administração, permitida a negociação com o contratado ou a extinção contratual sem ônus para qualquer das partes.</w:t>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De acordo com o </w:t>
      </w:r>
      <w:r>
        <w:rPr>
          <w:rFonts w:ascii="Liberation Serif" w:hAnsi="Liberation Serif" w:eastAsia="DejaVu Sans" w:cs="DejaVu Sans"/>
          <w:lang w:val="en-US" w:eastAsia="en-US" w:bidi="en-US"/>
        </w:rPr>
        <w:t>artigo 6º, inciso XXIII, alínea ‘c’, da Lei nº 14.133, de 2021</w:t>
      </w:r>
      <w:r>
        <w:rPr>
          <w:rFonts w:ascii="Liberation Serif" w:hAnsi="Liberation Serif" w:eastAsia="DejaVu Sans" w:cs="DejaVu Sans"/>
          <w:i/>
          <w:iCs/>
          <w:color w:val="000000"/>
          <w:lang w:val="en-US" w:eastAsia="en-US" w:bidi="en-US"/>
        </w:rPr>
        <w:t xml:space="preserve">, a fundamentação da contratação é realizada mediante “referência aos estudos técnicos preliminares correspondentes ou, quando não for possível divulgar esses estudos, no extrato das partes que não contiverem informações sigilosas”. A </w:t>
      </w:r>
      <w:r>
        <w:rPr>
          <w:rFonts w:ascii="Liberation Serif" w:hAnsi="Liberation Serif" w:eastAsia="DejaVu Sans" w:cs="DejaVu Sans"/>
          <w:lang w:val="en-US" w:eastAsia="en-US" w:bidi="en-US"/>
        </w:rPr>
        <w:t>Instrução Normativa SEGES/ME nº 58, de 8 de agosto de 2022</w:t>
      </w:r>
      <w:r>
        <w:rPr>
          <w:rFonts w:ascii="Liberation Serif" w:hAnsi="Liberation Serif" w:eastAsia="DejaVu Sans" w:cs="DejaVu Sans"/>
          <w:i/>
          <w:iCs/>
          <w:color w:val="000000"/>
          <w:lang w:val="en-US" w:eastAsia="en-US" w:bidi="en-US"/>
        </w:rPr>
        <w:t xml:space="preserve">, dispõe sobre a “elaboração do ETP, para a aquisição de bens e a contratação de serviços e obras, no âmbito da administração pública federal direta, autárquica e fundacional, e sobre o Sistema ETP digital”. No mesmo sentido é a previsão do </w:t>
      </w:r>
      <w:r>
        <w:rPr>
          <w:rFonts w:ascii="Liberation Serif" w:hAnsi="Liberation Serif" w:eastAsia="DejaVu Sans" w:cs="DejaVu Sans"/>
          <w:lang w:val="en-US" w:eastAsia="en-US" w:bidi="en-US"/>
        </w:rPr>
        <w:t>art. 9º, inciso II, da Instrução Normativa Seges/ME nº 81, de 2022</w:t>
      </w:r>
      <w:r>
        <w:rPr>
          <w:rFonts w:ascii="Liberation Serif" w:hAnsi="Liberation Serif" w:eastAsia="DejaVu Sans" w:cs="DejaVu Sans"/>
          <w:i/>
          <w:iCs/>
          <w:color w:val="000000"/>
          <w:lang w:val="en-US" w:eastAsia="en-US" w:bidi="en-US"/>
        </w:rPr>
        <w:t>.</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Os requisitos da contratação deverão ser registrados nos Sistemas TR DIGITAL e ETP DIGITAL, nos </w:t>
      </w:r>
      <w:r>
        <w:rPr>
          <w:rFonts w:ascii="Liberation Serif" w:hAnsi="Liberation Serif" w:eastAsia="DejaVu Sans" w:cs="DejaVu Sans"/>
          <w:i/>
          <w:iCs/>
          <w:lang w:val="en-US" w:eastAsia="en-US" w:bidi="en-US"/>
        </w:rPr>
        <w:t xml:space="preserve">termos do </w:t>
      </w:r>
      <w:r>
        <w:rPr>
          <w:rFonts w:ascii="Liberation Serif" w:hAnsi="Liberation Serif" w:eastAsia="DejaVu Sans" w:cs="DejaVu Sans"/>
          <w:lang w:val="en-US" w:eastAsia="en-US" w:bidi="en-US"/>
        </w:rPr>
        <w:t>art. 9º, inciso IV da IN Seges/ME nº 81, de 2022</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i/>
          <w:iCs/>
          <w:color w:val="000000"/>
          <w:lang w:val="en-US" w:eastAsia="en-US" w:bidi="en-US"/>
        </w:rPr>
        <w:t xml:space="preserve">e </w:t>
      </w:r>
      <w:r>
        <w:rPr>
          <w:rFonts w:ascii="Liberation Serif" w:hAnsi="Liberation Serif" w:eastAsia="DejaVu Sans" w:cs="DejaVu Sans"/>
          <w:lang w:val="en-US" w:eastAsia="en-US" w:bidi="en-US"/>
        </w:rPr>
        <w:t>art. 9º, II, da Instrução Normativa Seges/ME nº 58, de 2022.</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deste TR (CRITÉRIOS DE SELEÇÃO DO FORNECEDOR) de modo que sua inclusão aqui seria redundante.</w:t>
      </w:r>
    </w:p>
  </w:comment>
  <w:comment w:id="4"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O Termo de Referência e os Estudos Técnicos Preliminares deverão estar alinhados com o Plano Diretor de </w:t>
      </w:r>
      <w:r>
        <w:rPr>
          <w:rFonts w:ascii="Liberation Serif" w:hAnsi="Liberation Serif" w:eastAsia="DejaVu Sans" w:cs="DejaVu Sans"/>
          <w:i/>
          <w:iCs/>
          <w:lang w:val="en-US" w:eastAsia="en-US" w:bidi="en-US"/>
        </w:rPr>
        <w:t>Logística Sustentável, Plano de Contratações Anual, além de outros instrumentos de planejamento da Administração,</w:t>
      </w:r>
      <w:r>
        <w:rPr>
          <w:rFonts w:ascii="Liberation Serif" w:hAnsi="Liberation Serif" w:eastAsia="DejaVu Sans" w:cs="DejaVu Sans"/>
          <w:b/>
          <w:bCs/>
          <w:i/>
          <w:iCs/>
          <w:lang w:val="en-US" w:eastAsia="en-US" w:bidi="en-US"/>
        </w:rPr>
        <w:t xml:space="preserve"> </w:t>
      </w:r>
      <w:r>
        <w:rPr>
          <w:rFonts w:ascii="Liberation Serif" w:hAnsi="Liberation Serif" w:eastAsia="DejaVu Sans" w:cs="DejaVu Sans"/>
          <w:i/>
          <w:iCs/>
          <w:lang w:val="en-US" w:eastAsia="en-US" w:bidi="en-US"/>
        </w:rPr>
        <w:t xml:space="preserve">de acordo com o </w:t>
      </w:r>
      <w:r>
        <w:rPr>
          <w:rFonts w:ascii="Liberation Serif" w:hAnsi="Liberation Serif" w:eastAsia="DejaVu Sans" w:cs="DejaVu Sans"/>
          <w:lang w:val="en-US" w:eastAsia="en-US" w:bidi="en-US"/>
        </w:rPr>
        <w:t>art. 7º da IN Seges/ME nº 81, de 2022</w:t>
      </w:r>
      <w:r>
        <w:rPr>
          <w:rFonts w:ascii="Liberation Serif" w:hAnsi="Liberation Serif" w:eastAsia="DejaVu Sans" w:cs="DejaVu Sans"/>
          <w:i/>
          <w:iCs/>
          <w:lang w:val="en-US" w:eastAsia="en-US" w:bidi="en-US"/>
        </w:rPr>
        <w:t xml:space="preserve">, e </w:t>
      </w:r>
      <w:r>
        <w:rPr>
          <w:rFonts w:ascii="Liberation Serif" w:hAnsi="Liberation Serif" w:eastAsia="DejaVu Sans" w:cs="DejaVu Sans"/>
          <w:lang w:val="en-US" w:eastAsia="en-US" w:bidi="en-US"/>
        </w:rPr>
        <w:t>art. 7º da Instrução Normativa Seges/ME nº 58, de 2022</w:t>
      </w:r>
      <w:r>
        <w:rPr>
          <w:rFonts w:ascii="Liberation Serif" w:hAnsi="Liberation Serif" w:eastAsia="DejaVu Sans" w:cs="DejaVu Sans"/>
          <w:i/>
          <w:iCs/>
          <w:lang w:val="en-US" w:eastAsia="en-US" w:bidi="en-US"/>
        </w:rPr>
        <w:t xml:space="preserve">. </w:t>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Nos termos da </w:t>
      </w:r>
      <w:r>
        <w:rPr>
          <w:rFonts w:ascii="Liberation Serif" w:hAnsi="Liberation Serif" w:eastAsia="DejaVu Sans" w:cs="DejaVu Sans"/>
          <w:lang w:val="en-US" w:eastAsia="en-US" w:bidi="en-US"/>
        </w:rPr>
        <w:t>Portaria SEGES/ME nº 8.678, de 19 de julho de 2021</w:t>
      </w:r>
      <w:r>
        <w:rPr>
          <w:rFonts w:ascii="Liberation Serif" w:hAnsi="Liberation Serif" w:eastAsia="DejaVu Sans" w:cs="DejaVu Sans"/>
          <w:i/>
          <w:iCs/>
          <w:color w:val="000000"/>
          <w:lang w:val="en-US" w:eastAsia="en-US" w:bidi="en-US"/>
        </w:rPr>
        <w:t xml:space="preserve">, o  Plano Diretor de Logística Sustentável é </w:t>
      </w:r>
      <w:r>
        <w:rPr>
          <w:rFonts w:ascii="Liberation Serif" w:hAnsi="Liberation Serif" w:eastAsia="DejaVu Sans" w:cs="DejaVu Sans"/>
          <w:i/>
          <w:iCs/>
          <w:color w:val="555555"/>
          <w:lang w:val="en-US" w:eastAsia="en-US" w:bidi="en-US"/>
        </w:rPr>
        <w:t> </w:t>
      </w:r>
      <w:r>
        <w:rPr>
          <w:rFonts w:ascii="Liberation Serif" w:hAnsi="Liberation Serif" w:eastAsia="DejaVu Sans" w:cs="DejaVu Sans"/>
          <w:i/>
          <w:iCs/>
          <w:color w:val="000000"/>
          <w:lang w:val="en-US" w:eastAsia="en-US" w:bidi="en-US"/>
        </w:rPr>
        <w:t>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p>
    <w:p>
      <w:r>
        <w:rPr>
          <w:rFonts w:ascii="Liberation Serif" w:hAnsi="Liberation Serif" w:eastAsia="DejaVu Sans" w:cs="DejaVu Sans"/>
          <w:i/>
          <w:iCs/>
          <w:color w:val="000000"/>
          <w:lang w:val="en-US" w:eastAsia="en-US" w:bidi="en-US"/>
        </w:rPr>
        <w:t xml:space="preserve">Destaque-se ainda que, de acordo com o </w:t>
      </w:r>
      <w:r>
        <w:rPr>
          <w:rFonts w:ascii="Liberation Serif" w:hAnsi="Liberation Serif" w:eastAsia="DejaVu Sans" w:cs="DejaVu Sans"/>
          <w:lang w:val="en-US" w:eastAsia="en-US" w:bidi="en-US"/>
        </w:rPr>
        <w:t>artigo 8º, §1º, III, da Portaria SEGES/ME nº 8.678, de 2021</w:t>
      </w:r>
      <w:r>
        <w:rPr>
          <w:rFonts w:ascii="Liberation Serif" w:hAnsi="Liberation Serif" w:eastAsia="DejaVu Sans" w:cs="DejaVu Sans"/>
          <w:i/>
          <w:iCs/>
          <w:color w:val="000000"/>
          <w:lang w:val="en-US" w:eastAsia="en-US" w:bidi="en-US"/>
        </w:rPr>
        <w:t xml:space="preserve">, o Plano Diretor de Logística Sustentável deverá nortear a elaboração dos anteprojetos, dos projetos básicos ou dos termos de referência de cada contratação. </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lang w:val="en-US" w:eastAsia="en-US" w:bidi="en-US"/>
        </w:rPr>
        <w:t xml:space="preserve">Os preceitos do desenvolvimento sustentável devem ser observados na fase preparatória da licitação, em suas dimensões econômica, social, ambiental e cultural, no mínimo, com base nos planos de gestão de logística sustentável dos órgãos e das entidades, conforme prevê o parágrafo único do </w:t>
      </w:r>
      <w:r>
        <w:rPr>
          <w:rFonts w:ascii="Liberation Serif" w:hAnsi="Liberation Serif" w:eastAsia="DejaVu Sans" w:cs="DejaVu Sans"/>
          <w:lang w:val="en-US" w:eastAsia="en-US" w:bidi="en-US"/>
        </w:rPr>
        <w:t>artigo 11 da Instrução Normativa SEGES/ME nº 73, de 2022</w:t>
      </w:r>
      <w:r>
        <w:rPr>
          <w:rFonts w:ascii="Liberation Serif" w:hAnsi="Liberation Serif" w:eastAsia="DejaVu Sans" w:cs="DejaVu Sans"/>
          <w:i/>
          <w:iCs/>
          <w:lang w:val="en-US" w:eastAsia="en-US" w:bidi="en-US"/>
        </w:rPr>
        <w:t>.</w:t>
      </w:r>
    </w:p>
    <w:p>
      <w:r>
        <w:rPr>
          <w:rFonts w:ascii="Liberation Serif" w:hAnsi="Liberation Serif" w:eastAsia="DejaVu Sans" w:cs="DejaVu Sans"/>
          <w:b/>
          <w:bCs/>
          <w:i/>
          <w:iCs/>
          <w:color w:val="000000"/>
          <w:lang w:val="en-US" w:eastAsia="en-US" w:bidi="en-US"/>
        </w:rPr>
        <w:t>Nota Explicativa 4:</w:t>
      </w:r>
      <w:r>
        <w:rPr>
          <w:rFonts w:ascii="Liberation Serif" w:hAnsi="Liberation Serif" w:eastAsia="DejaVu Sans" w:cs="DejaVu Sans"/>
          <w:i/>
          <w:iCs/>
          <w:color w:val="000000"/>
          <w:lang w:val="en-US" w:eastAsia="en-US" w:bidi="en-US"/>
        </w:rPr>
        <w:t xml:space="preserve"> Os critérios e práticas de sustentabilidade deverão ser registrados no sistema de ETP Digital, conforme previsão do </w:t>
      </w:r>
      <w:r>
        <w:rPr>
          <w:rFonts w:ascii="Liberation Serif" w:hAnsi="Liberation Serif" w:eastAsia="DejaVu Sans" w:cs="DejaVu Sans"/>
          <w:lang w:val="en-US" w:eastAsia="en-US" w:bidi="en-US"/>
        </w:rPr>
        <w:t>Art. 9º, II, da Instrução Normativa SEGES/ME nº 58, de 2022</w:t>
      </w:r>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i/>
          <w:iCs/>
          <w:color w:val="000000"/>
          <w:lang w:val="en-US" w:eastAsia="en-US" w:bidi="en-US"/>
        </w:rPr>
        <w:t xml:space="preserve">Soma-se a essa previsão, o </w:t>
      </w:r>
      <w:r>
        <w:rPr>
          <w:rFonts w:ascii="Liberation Serif" w:hAnsi="Liberation Serif" w:eastAsia="DejaVu Sans" w:cs="DejaVu Sans"/>
          <w:lang w:val="en-US" w:eastAsia="en-US" w:bidi="en-US"/>
        </w:rPr>
        <w:t xml:space="preserve">Parecer n. </w:t>
      </w:r>
      <w:r>
        <w:rPr>
          <w:rFonts w:ascii="Liberation Serif" w:hAnsi="Liberation Serif" w:eastAsia="DejaVu Sans" w:cs="DejaVu Sans"/>
          <w:i/>
          <w:iCs/>
          <w:color w:val="000080"/>
          <w:u w:val="single"/>
          <w:lang w:val="en-US" w:eastAsia="en-US" w:bidi="en-US"/>
        </w:rPr>
        <w:t>00001/2021/CNS/CGU/AGU, da Consultoria –Geral da União aprovado nos termos do DESPACHO n. 00525/2021/GAB/CGU/AGU (NUP: 00688.000723/2019-45)</w:t>
      </w:r>
      <w:r>
        <w:rPr>
          <w:rFonts w:ascii="Liberation Serif" w:hAnsi="Liberation Serif" w:eastAsia="DejaVu Sans" w:cs="DejaVu Sans"/>
          <w:i/>
          <w:iCs/>
          <w:color w:val="000000"/>
          <w:lang w:val="en-US" w:eastAsia="en-US" w:bidi="en-US"/>
        </w:rPr>
        <w:t xml:space="preserve">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r>
        <w:rPr>
          <w:rFonts w:ascii="Liberation Serif" w:hAnsi="Liberation Serif" w:eastAsia="DejaVu Sans" w:cs="DejaVu Sans"/>
          <w:i/>
          <w:iCs/>
          <w:color w:val="000000"/>
          <w:lang w:val="en-US" w:eastAsia="en-US" w:bidi="en-US"/>
        </w:rPr>
        <w:t xml:space="preserve">Dessa forma, a sustentabilidade deve ser considerada pelo gestor público: a) na fase de planejamento da contratação, b) na elaboração das minutas, com consulta ao Guia, c) na fase de execução contratual e d) na adequada destinação ambiental dos resíduos decorrentes dos serviços prestados, levando em conta as diretrizes estabelecidas pela </w:t>
      </w:r>
      <w:r>
        <w:rPr>
          <w:rFonts w:ascii="Liberation Serif" w:hAnsi="Liberation Serif" w:eastAsia="DejaVu Sans" w:cs="DejaVu Sans"/>
          <w:lang w:val="en-US" w:eastAsia="en-US" w:bidi="en-US"/>
        </w:rPr>
        <w:t>Lei 12.305/2010</w:t>
      </w:r>
      <w:r>
        <w:rPr>
          <w:rFonts w:ascii="Liberation Serif" w:hAnsi="Liberation Serif" w:eastAsia="DejaVu Sans" w:cs="DejaVu Sans"/>
          <w:i/>
          <w:iCs/>
          <w:color w:val="000000"/>
          <w:lang w:val="en-US" w:eastAsia="en-US" w:bidi="en-US"/>
        </w:rPr>
        <w:t xml:space="preserve"> - Política Nacional de Resíduos Sólidos. Ainda que não constante do termo de referência, destaque-se que as contratações mediante pregão eletrônico deverão estar alinhadas com o Plano de Gestão e Logística Sustentável do órgão.</w:t>
      </w:r>
    </w:p>
    <w:p>
      <w:r>
        <w:rPr>
          <w:rFonts w:ascii="Liberation Serif" w:hAnsi="Liberation Serif" w:eastAsia="DejaVu Sans" w:cs="DejaVu Sans"/>
          <w:b/>
          <w:bCs/>
          <w:i/>
          <w:iCs/>
          <w:color w:val="000000"/>
          <w:lang w:val="en-US" w:eastAsia="en-US" w:bidi="en-US"/>
        </w:rPr>
        <w:t xml:space="preserve">Nota Explicativa 5: </w:t>
      </w:r>
      <w:r>
        <w:rPr>
          <w:rFonts w:ascii="Liberation Serif" w:hAnsi="Liberation Serif" w:eastAsia="DejaVu Sans" w:cs="DejaVu Sans"/>
          <w:i/>
          <w:iCs/>
          <w:color w:val="000000"/>
          <w:lang w:val="en-US" w:eastAsia="en-US" w:bidi="en-US"/>
        </w:rPr>
        <w:t xml:space="preserve">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w:t>
      </w:r>
      <w:r>
        <w:rPr>
          <w:rFonts w:ascii="Liberation Serif" w:hAnsi="Liberation Serif" w:eastAsia="DejaVu Sans" w:cs="DejaVu Sans"/>
          <w:lang w:val="en-US" w:eastAsia="en-US" w:bidi="en-US"/>
        </w:rPr>
        <w:t>Parecer n. 00001/2021/CNS/CGU/AGU</w:t>
      </w:r>
      <w:r>
        <w:rPr>
          <w:rFonts w:ascii="Liberation Serif" w:hAnsi="Liberation Serif" w:eastAsia="DejaVu Sans" w:cs="DejaVu Sans"/>
          <w:i/>
          <w:iCs/>
          <w:color w:val="000000"/>
          <w:lang w:val="en-US" w:eastAsia="en-US" w:bidi="en-US"/>
        </w:rPr>
        <w:t xml:space="preserve"> e previsão do </w:t>
      </w:r>
      <w:r>
        <w:rPr>
          <w:rFonts w:ascii="Liberation Serif" w:hAnsi="Liberation Serif" w:eastAsia="DejaVu Sans" w:cs="DejaVu Sans"/>
          <w:lang w:val="en-US" w:eastAsia="en-US" w:bidi="en-US"/>
        </w:rPr>
        <w:t>§1º do art. 9º da Instrução Normativa SEGES/ME nº 58, de 2022</w:t>
      </w:r>
      <w:r>
        <w:rPr>
          <w:rFonts w:ascii="Liberation Serif" w:hAnsi="Liberation Serif" w:eastAsia="DejaVu Sans" w:cs="DejaVu Sans"/>
          <w:i/>
          <w:iCs/>
          <w:color w:val="000000"/>
          <w:lang w:val="en-US" w:eastAsia="en-US" w:bidi="en-US"/>
        </w:rPr>
        <w:t xml:space="preserve">, que dispõe sobre a elaboração dos Estudos Técnicos Preliminares - ETP.   </w:t>
      </w:r>
    </w:p>
    <w:p>
      <w:r>
        <w:rPr>
          <w:rFonts w:ascii="Liberation Serif" w:hAnsi="Liberation Serif" w:eastAsia="DejaVu Sans" w:cs="DejaVu Sans"/>
          <w:i/>
          <w:iCs/>
          <w:color w:val="000000"/>
          <w:lang w:val="en-US" w:eastAsia="en-US" w:bidi="en-US"/>
        </w:rPr>
        <w:t xml:space="preserve">Se houver justificativa nos autos para a não-adoção de critérios de sustentabilidade (e apenas nesse caso), deverá haver a supressão dos dispositivos específicos acima. </w:t>
      </w:r>
    </w:p>
    <w:p>
      <w:r>
        <w:rPr>
          <w:rFonts w:ascii="Liberation Serif" w:hAnsi="Liberation Serif" w:eastAsia="DejaVu Sans" w:cs="DejaVu Sans"/>
          <w:b/>
          <w:bCs/>
          <w:i/>
          <w:iCs/>
          <w:color w:val="000000"/>
          <w:lang w:val="en-US" w:eastAsia="en-US" w:bidi="en-US"/>
        </w:rPr>
        <w:t xml:space="preserve">Nota Explicativa 6: </w:t>
      </w:r>
      <w:r>
        <w:rPr>
          <w:rFonts w:ascii="Liberation Serif" w:hAnsi="Liberation Serif" w:eastAsia="DejaVu Sans" w:cs="DejaVu Sans"/>
          <w:i/>
          <w:iCs/>
          <w:color w:val="000000"/>
          <w:lang w:val="en-US" w:eastAsia="en-US" w:bidi="en-US"/>
        </w:rPr>
        <w:t xml:space="preserve">Aos agentes da administração pública federal encarregados de realizar contratações públicas, recomenda-se que, no exercício de suas atribuições funcionais, consultem o </w:t>
      </w:r>
      <w:r>
        <w:rPr>
          <w:rFonts w:ascii="Liberation Serif" w:hAnsi="Liberation Serif" w:eastAsia="DejaVu Sans" w:cs="DejaVu Sans"/>
          <w:lang w:val="en-US" w:eastAsia="en-US" w:bidi="en-US"/>
        </w:rPr>
        <w:t>Guia Nacional de Contratações Sustentáveis da Advocacia-Geral da União</w:t>
      </w:r>
      <w:r>
        <w:rPr>
          <w:rFonts w:ascii="Liberation Serif" w:hAnsi="Liberation Serif" w:eastAsia="DejaVu Sans" w:cs="DejaVu Sans"/>
          <w:i/>
          <w:iCs/>
          <w:color w:val="000000"/>
          <w:lang w:val="en-US" w:eastAsia="en-US" w:bidi="en-US"/>
        </w:rPr>
        <w:t xml:space="preserve">, disponibilizado pela Consultoria-Geral da União e no site da AGU. </w:t>
      </w:r>
    </w:p>
    <w:p>
      <w:r>
        <w:rPr>
          <w:rFonts w:ascii="Liberation Serif" w:hAnsi="Liberation Serif" w:eastAsia="DejaVu Sans" w:cs="DejaVu Sans"/>
          <w:b/>
          <w:bCs/>
          <w:i/>
          <w:iCs/>
          <w:color w:val="000000"/>
          <w:lang w:val="en-US" w:eastAsia="en-US" w:bidi="en-US"/>
        </w:rPr>
        <w:t xml:space="preserve">Nota Explicativa 7: </w:t>
      </w:r>
      <w:r>
        <w:rPr>
          <w:rFonts w:ascii="Liberation Serif" w:hAnsi="Liberation Serif" w:eastAsia="DejaVu Sans" w:cs="DejaVu Sans"/>
          <w:i/>
          <w:iCs/>
          <w:color w:val="000000"/>
          <w:lang w:val="en-US" w:eastAsia="en-US" w:bidi="en-US"/>
        </w:rPr>
        <w:t xml:space="preserve">De acordo com o </w:t>
      </w:r>
      <w:r>
        <w:rPr>
          <w:rFonts w:ascii="Liberation Serif" w:hAnsi="Liberation Serif" w:eastAsia="DejaVu Sans" w:cs="DejaVu Sans"/>
          <w:lang w:val="en-US" w:eastAsia="en-US" w:bidi="en-US"/>
        </w:rPr>
        <w:t>Guia Nacional de Contratações Sustentáveis da AGU</w:t>
      </w:r>
      <w:r>
        <w:rPr>
          <w:rFonts w:ascii="Liberation Serif" w:hAnsi="Liberation Serif" w:eastAsia="DejaVu Sans" w:cs="DejaVu Sans"/>
          <w:i/>
          <w:iCs/>
          <w:color w:val="000000"/>
          <w:lang w:val="en-US" w:eastAsia="en-US" w:bidi="en-US"/>
        </w:rPr>
        <w:t>, a inclusão de critérios de sustentabilidade deve ser feita de modo claro e objetivo. Deve-se evitar a transcrição literal e automática das previsões legais ou normativas, sem efetuar o exame da incidência real e efetiva delas na contratação em apreço.</w:t>
      </w:r>
    </w:p>
    <w:p>
      <w:r>
        <w:rPr>
          <w:rFonts w:ascii="Liberation Serif" w:hAnsi="Liberation Serif" w:eastAsia="DejaVu Sans" w:cs="DejaVu Sans"/>
          <w:i/>
          <w:iCs/>
          <w:color w:val="000000"/>
          <w:lang w:val="en-US" w:eastAsia="en-US" w:bidi="en-US"/>
        </w:rPr>
        <w:t>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 (</w:t>
      </w:r>
      <w:r>
        <w:rPr>
          <w:rFonts w:ascii="Liberation Serif" w:hAnsi="Liberation Serif" w:eastAsia="DejaVu Sans" w:cs="DejaVu Sans"/>
          <w:lang w:val="en-US" w:eastAsia="en-US" w:bidi="en-US"/>
        </w:rPr>
        <w:t>artigo 9, inciso XII, da Instrução Normativa SEGES/ME nº 58, de 2022</w:t>
      </w:r>
      <w:r>
        <w:rPr>
          <w:rFonts w:ascii="Liberation Serif" w:hAnsi="Liberation Serif" w:eastAsia="DejaVu Sans" w:cs="DejaVu Sans"/>
          <w:i/>
          <w:iCs/>
          <w:color w:val="000000"/>
          <w:lang w:val="en-US" w:eastAsia="en-US" w:bidi="en-US"/>
        </w:rPr>
        <w:t>, que dispõe sobre a elaboração dos Estudos Técnicos Preliminares - ETP)</w:t>
      </w:r>
    </w:p>
    <w:p>
      <w:r>
        <w:rPr>
          <w:rFonts w:ascii="Liberation Serif" w:hAnsi="Liberation Serif" w:eastAsia="DejaVu Sans" w:cs="DejaVu Sans"/>
          <w:b/>
          <w:bCs/>
          <w:i/>
          <w:iCs/>
          <w:color w:val="000000"/>
          <w:lang w:val="en-US" w:eastAsia="en-US" w:bidi="en-US"/>
        </w:rPr>
        <w:t xml:space="preserve">Nota Explicativa 8: </w:t>
      </w:r>
      <w:r>
        <w:rPr>
          <w:rFonts w:ascii="Liberation Serif" w:hAnsi="Liberation Serif" w:eastAsia="DejaVu Sans" w:cs="DejaVu Sans"/>
          <w:i/>
          <w:iCs/>
          <w:color w:val="000000"/>
          <w:lang w:val="en-US" w:eastAsia="en-US" w:bidi="en-US"/>
        </w:rPr>
        <w:t>Nas aquisições e contratações governamentais, deve ser dada prioridade para produtos reciclados e recicláveis e para bens, serviços e obras que considerem critérios compatíveis com padrões de consumo sustentáveis (</w:t>
      </w:r>
      <w:r>
        <w:rPr>
          <w:rFonts w:ascii="Liberation Serif" w:hAnsi="Liberation Serif" w:eastAsia="DejaVu Sans" w:cs="DejaVu Sans"/>
          <w:lang w:val="en-US" w:eastAsia="en-US" w:bidi="en-US"/>
        </w:rPr>
        <w:t>artigo 7º, XI, da Lei nº 12.305, de 2010</w:t>
      </w:r>
      <w:r>
        <w:rPr>
          <w:rFonts w:ascii="Liberation Serif" w:hAnsi="Liberation Serif" w:eastAsia="DejaVu Sans" w:cs="DejaVu Sans"/>
          <w:i/>
          <w:iCs/>
          <w:color w:val="000000"/>
          <w:lang w:val="en-US" w:eastAsia="en-US" w:bidi="en-US"/>
        </w:rPr>
        <w:t xml:space="preserve"> – Política Nacional de Resíduos Sólidos). Deve-se observar, também, a regulamentação a ser editada a luz da nova legislação.</w:t>
      </w:r>
    </w:p>
    <w:p>
      <w:r>
        <w:rPr>
          <w:rFonts w:ascii="Liberation Serif" w:hAnsi="Liberation Serif" w:eastAsia="DejaVu Sans" w:cs="DejaVu Sans"/>
          <w:b/>
          <w:bCs/>
          <w:i/>
          <w:iCs/>
          <w:color w:val="000000"/>
          <w:lang w:val="en-US" w:eastAsia="en-US" w:bidi="en-US"/>
        </w:rPr>
        <w:t xml:space="preserve">Nota Explicativa 9: </w:t>
      </w:r>
      <w:r>
        <w:rPr>
          <w:rFonts w:ascii="Liberation Serif" w:hAnsi="Liberation Serif" w:eastAsia="DejaVu Sans" w:cs="DejaVu Sans"/>
          <w:i/>
          <w:iCs/>
          <w:color w:val="000000"/>
          <w:lang w:val="en-US" w:eastAsia="en-US" w:bidi="en-US"/>
        </w:rPr>
        <w:t xml:space="preserve">Recomenda-se, igualmente, consulta ao Catálogo de Materiais Sustentáveis (CATMAT Sustentável), bem como consulta prévia ao site governamental </w:t>
      </w:r>
      <w:r>
        <w:rPr>
          <w:rFonts w:ascii="Liberation Serif" w:hAnsi="Liberation Serif" w:eastAsia="DejaVu Sans" w:cs="DejaVu Sans"/>
          <w:lang w:val="en-US" w:eastAsia="en-US" w:bidi="en-US"/>
        </w:rPr>
        <w:t>https://doacoes.gov.br</w:t>
      </w:r>
      <w:r>
        <w:rPr>
          <w:rFonts w:ascii="Liberation Serif" w:hAnsi="Liberation Serif" w:eastAsia="DejaVu Sans" w:cs="DejaVu Sans"/>
          <w:i/>
          <w:iCs/>
          <w:color w:val="000000"/>
          <w:lang w:val="en-US" w:eastAsia="en-US" w:bidi="en-US"/>
        </w:rPr>
        <w:t>/, solução desenvolvida pelo Ministério da Economia,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Em razão de seu potencial de restringir a competitividade do certame, a exigência de carta de solidariedade somente se justificará em situações excepcionais e devidamente motivadas.</w:t>
      </w:r>
    </w:p>
  </w:comment>
  <w:comment w:id="6"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A subcontratação deve ser avaliada à luz do </w:t>
      </w:r>
      <w:r>
        <w:rPr>
          <w:rFonts w:ascii="Liberation Serif" w:hAnsi="Liberation Serif" w:eastAsia="DejaVu Sans" w:cs="DejaVu Sans"/>
          <w:lang w:val="en-US" w:eastAsia="en-US" w:bidi="en-US"/>
        </w:rPr>
        <w:t>artigo 122 da Lei nº 14.133, de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“Art. 122. Na execução do contrato e sem prejuízo das responsabilidades contratuais e legais, o contratado poderá subcontratar partes da obra, do serviço ou do fornecimento até o limite autorizado, em cada caso, pela Administração.</w:t>
      </w:r>
    </w:p>
    <w:p>
      <w:r>
        <w:rPr>
          <w:rFonts w:ascii="Liberation Serif" w:hAnsi="Liberation Serif" w:eastAsia="DejaVu Sans" w:cs="DejaVu Sans"/>
          <w:i/>
          <w:iCs/>
          <w:color w:val="000000"/>
          <w:lang w:val="en-US" w:eastAsia="en-US" w:bidi="en-US"/>
        </w:rPr>
        <w:t>§ 1º O contratado apresentará à Administração documentação que comprove a capacidade técnica do subcontratado, que será avaliada e juntada aos autos do processo correspondente.</w:t>
      </w:r>
    </w:p>
    <w:p>
      <w:r>
        <w:rPr>
          <w:rFonts w:ascii="Liberation Serif" w:hAnsi="Liberation Serif" w:eastAsia="DejaVu Sans" w:cs="DejaVu Sans"/>
          <w:i/>
          <w:iCs/>
          <w:color w:val="000000"/>
          <w:lang w:val="en-US" w:eastAsia="en-US" w:bidi="en-US"/>
        </w:rPr>
        <w:t>§ 2º Regulamento ou edital de licitação poderão vedar, restringir ou estabelecer condições para a subcontratação.</w:t>
      </w:r>
    </w:p>
    <w:p>
      <w:r>
        <w:rPr>
          <w:rFonts w:ascii="Liberation Serif" w:hAnsi="Liberation Serif" w:eastAsia="DejaVu Sans" w:cs="DejaVu Sans"/>
          <w:i/>
          <w:iCs/>
          <w:color w:val="000000"/>
          <w:lang w:val="en-US" w:eastAsia="en-US" w:bidi="en-US"/>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7"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Em caso de necessidade de inclusão de outras especificações técnicas quanto à subcontratação, deverão ser inseridas nestes itens.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A subcontratação parcial é permitida e deverá ser analisada pela Administração com base nas informações dos estudos preliminares, em cada caso concreto. Caso admitida, o Termo de Referência e o Contrato deverão estabelecer com detalhamento seus limites e condições, inclusive especificando quais parcelas do objeto poderão ser subcontratadas.</w:t>
      </w:r>
    </w:p>
  </w:comment>
  <w:comment w:id="8" w:author="Autor" w:date="0-00-00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i/>
          <w:iCs/>
          <w:lang w:val="en-US" w:eastAsia="en-US" w:bidi="en-US"/>
        </w:rPr>
        <w:t>Insira no item 4.12, se for o caso, outros requisitos necessários para o atendimento da demanda que gerou necessidade da contratação.</w:t>
      </w:r>
    </w:p>
  </w:comment>
  <w:comment w:id="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Este item deve ser adaptado de acordo com as necessidades específicas do órgão ou entidade, apresentando-se, este modelo, de forma meramente exemplificativa.</w:t>
      </w:r>
    </w:p>
  </w:comment>
  <w:comment w:id="10"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Recomenda-se que seja inserida data de início e data de fim de cada etapa para que fique clara a ocorrência de eventuais atrasos.</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Estas previsões são meramente ilustrativas. Havendo a necessidade de alteração ou inclusão de dados para cada etapa, os subitens devem ser alterados.</w:t>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Havendo a necessidade de especificar as rotinas de trabalho, recomenda-se trazê-las em item específico, sem prejuízo da possibilidade de incluir um anexo com caderno de encargos, especificações técnicas ou documento análogo em que a forma de trabalho esperada do contratado (para além do já previsto neste instrumento) conste de forma mais detalhada.</w:t>
      </w:r>
    </w:p>
  </w:comment>
  <w:comment w:id="1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Caso haja mais de um endereço, deve-se especificar. Do mesmo modo, se os endereços se modificarem conforme cada etapa/fase do serviço. Ademais, se houver a necessidade de previamente se acordar a data ou hora de prestação do serviço com o competente, deve-se especificar essa obrigação.</w:t>
      </w:r>
    </w:p>
  </w:comment>
  <w:comment w:id="12"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Fica a critério da Administração exigir - ou não - a garantia contratual do serviço ou bens empregados em sua execução, de forma complementar à garantia legal, o que pode ser feito mediante a devida fundamentação, a ser exposta neste item do Termo de Referência. Não a exigindo, deverá suprimir o item.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artigo 9º, inciso alínea “d” da IN Seges/ME nº 81 de 2022</w:t>
      </w:r>
      <w:r>
        <w:rPr>
          <w:rFonts w:ascii="Liberation Serif" w:hAnsi="Liberation Serif" w:eastAsia="DejaVu Sans" w:cs="DejaVu Sans"/>
          <w:i/>
          <w:iCs/>
          <w:lang w:val="en-US" w:eastAsia="en-US" w:bidi="en-US"/>
        </w:rPr>
        <w:t xml:space="preserve"> ex</w:t>
      </w:r>
      <w:r>
        <w:rPr>
          <w:rFonts w:ascii="Liberation Serif" w:hAnsi="Liberation Serif" w:eastAsia="DejaVu Sans" w:cs="DejaVu Sans"/>
          <w:i/>
          <w:iCs/>
          <w:color w:val="000000"/>
          <w:lang w:val="en-US" w:eastAsia="en-US" w:bidi="en-US"/>
        </w:rPr>
        <w:t>ige que a inserção no TR Digital da especificação da garantia exigida e das condições de manutenção e assistência técnica, quando for o caso</w:t>
      </w:r>
    </w:p>
  </w:comment>
  <w:comment w:id="1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exigência de garantia, bem como o prazo previsto devem ser justificados nos autos.</w:t>
      </w:r>
    </w:p>
  </w:comment>
  <w:comment w:id="1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Os gestores e fiscais do contrato serão designados pela autoridade máxima do órgão ou da entidade, ou a quem as normas de organização administrativa indicarem, na forma do </w:t>
      </w:r>
      <w:r>
        <w:rPr>
          <w:rFonts w:ascii="Liberation Serif" w:hAnsi="Liberation Serif" w:eastAsia="DejaVu Sans" w:cs="DejaVu Sans"/>
          <w:lang w:val="en-US" w:eastAsia="en-US" w:bidi="en-US"/>
        </w:rPr>
        <w:t>art. 7º da Lei nº 14.133, de 2021</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lang w:val="en-US" w:eastAsia="en-US" w:bidi="en-US"/>
        </w:rPr>
        <w:t>art. 8º do Decreto nº 11.246, de 2022</w:t>
      </w:r>
      <w:r>
        <w:rPr>
          <w:rFonts w:ascii="Liberation Serif" w:hAnsi="Liberation Serif" w:eastAsia="DejaVu Sans" w:cs="DejaVu Sans"/>
          <w:i/>
          <w:iCs/>
          <w:color w:val="000000"/>
          <w:lang w:val="en-US" w:eastAsia="en-US" w:bidi="en-US"/>
        </w:rPr>
        <w:t>, devendo a Administração instruir os autos com as publicações dos atos de designação dos agentes públicos para o exercício dessas funções.</w:t>
      </w:r>
    </w:p>
  </w:comment>
  <w:comment w:id="1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Caso entenda conveniente, a Administração poderá exigir a manutenção do preposto da empresa no local da execução do objeto, bem como pode ser estabelecido sistema de escala semanal ou mensal.</w:t>
      </w:r>
    </w:p>
  </w:comment>
  <w:comment w:id="16"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execução dos contratos de prestação de serviços se submete a um conjunto de ações que compõem as ati</w:t>
      </w:r>
      <w:r>
        <w:rPr>
          <w:rFonts w:ascii="Liberation Serif" w:hAnsi="Liberation Serif" w:eastAsia="DejaVu Sans" w:cs="DejaVu Sans"/>
          <w:i/>
          <w:iCs/>
          <w:lang w:val="en-US" w:eastAsia="en-US" w:bidi="en-US"/>
        </w:rPr>
        <w:t xml:space="preserve">vidades de gestão e fiscalização contratuais. Nesse sentido, </w:t>
      </w:r>
      <w:r>
        <w:rPr>
          <w:rFonts w:ascii="Liberation Serif" w:hAnsi="Liberation Serif" w:eastAsia="DejaVu Sans" w:cs="DejaVu Sans"/>
          <w:lang w:val="en-US" w:eastAsia="en-US" w:bidi="en-US"/>
        </w:rPr>
        <w:t>o art. 19 do Decreto nº 11.246, de 2022</w:t>
      </w:r>
      <w:r>
        <w:rPr>
          <w:rFonts w:ascii="Liberation Serif" w:hAnsi="Liberation Serif" w:eastAsia="DejaVu Sans" w:cs="DejaVu Sans"/>
          <w:i/>
          <w:iCs/>
          <w:lang w:val="en-US" w:eastAsia="en-US" w:bidi="en-US"/>
        </w:rPr>
        <w:t>, estabele</w:t>
      </w:r>
      <w:r>
        <w:rPr>
          <w:rFonts w:ascii="Liberation Serif" w:hAnsi="Liberation Serif" w:eastAsia="DejaVu Sans" w:cs="DejaVu Sans"/>
          <w:i/>
          <w:iCs/>
          <w:color w:val="000000"/>
          <w:lang w:val="en-US" w:eastAsia="en-US" w:bidi="en-US"/>
        </w:rPr>
        <w:t>ce que:</w:t>
      </w:r>
    </w:p>
    <w:p>
      <w:r>
        <w:rPr>
          <w:rFonts w:ascii="Liberation Serif" w:hAnsi="Liberation Serif" w:eastAsia="DejaVu Sans" w:cs="DejaVu Sans"/>
          <w:i/>
          <w:iCs/>
          <w:color w:val="000000"/>
          <w:lang w:val="en-US" w:eastAsia="en-US" w:bidi="en-US"/>
        </w:rPr>
        <w:t>Art. 19. As atividades de gestão e fiscalização do contrato serão realizadas de acordo com as seguintes disposições:</w:t>
      </w:r>
    </w:p>
    <w:p>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 xml:space="preserve">II - fiscalização técnica: é o acompanhamento do contrato com o objetivo de avaliar a execução do objeto nos moldes contratados e, se for o caso, aferir se a quantidade, qualidade, tempo e modo da prestação ou execução do objeto estão compatíveis com os </w:t>
      </w:r>
      <w:r>
        <w:rPr>
          <w:rFonts w:ascii="Liberation Serif" w:hAnsi="Liberation Serif" w:eastAsia="DejaVu Sans" w:cs="DejaVu Sans"/>
          <w:b/>
          <w:bCs/>
          <w:i/>
          <w:iCs/>
          <w:color w:val="000000"/>
          <w:lang w:val="en-US" w:eastAsia="en-US" w:bidi="en-US"/>
        </w:rPr>
        <w:t>indicadores estipulados no edital</w:t>
      </w:r>
      <w:r>
        <w:rPr>
          <w:rFonts w:ascii="Liberation Serif" w:hAnsi="Liberation Serif" w:eastAsia="DejaVu Sans" w:cs="DejaVu Sans"/>
          <w:i/>
          <w:iCs/>
          <w:color w:val="000000"/>
          <w:lang w:val="en-US" w:eastAsia="en-US" w:bidi="en-US"/>
        </w:rPr>
        <w:t>, para efeito de pagamento conforme o resultado pretendido pela Administração, podendo ser auxiliado pela fiscalização administrativa;</w:t>
      </w:r>
    </w:p>
    <w:p>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O referido normativo não trouxe qualquer parâmetro para mensuração dos resultados para o pagamento das contratadas, limitando-se a estabelecer no seu art. 21 que ao fiscal técnico competirá “- fiscalizar a execução do contrato, para que sejam cumpridas todas as condições estabelecidas no contrato, de modo a assegurar os melhores resultados para a Administração” (inciso VI)</w:t>
      </w:r>
    </w:p>
    <w:p>
      <w:r>
        <w:rPr>
          <w:rFonts w:ascii="Liberation Serif" w:hAnsi="Liberation Serif" w:eastAsia="DejaVu Sans" w:cs="DejaVu Sans"/>
          <w:i/>
          <w:iCs/>
          <w:color w:val="000000"/>
          <w:lang w:val="en-US" w:eastAsia="en-US" w:bidi="en-US"/>
        </w:rPr>
        <w:t xml:space="preserve">Neste sentido, nas contratações de prestação de serviços, a Administração deve adotar, sempre que possível, unidade de medida que permita a mensuração dos resultados para o pagamento da contratada. Nessas contratações, a mensuração e o pagamento vinculados aos resultados entregues pela contratada são amparados “no princípio constitucional explícito da eficiência, bem como no princípio implícito da economicidade, e, ainda, segundo os princípios da legalidade e da moralidade dos gastos públicos” (TCU, Acórdão nº 1.215/2009, Plenário). Ou seja, é necessário um instrumento que permita definir bases objetivas a serem aplicadas no controle da qualidade do objeto executado, permitindo à Administração, também com base em previsão expressa nesse instrumento, promover as adequações de pagamento devidas no caso de não se verificar o atendimento das metas estabelecidas. Assim, vale sugerir a inclusão como boa prática administrativa como, o modelo trazido pela </w:t>
      </w:r>
      <w:r>
        <w:rPr>
          <w:rFonts w:ascii="Liberation Serif" w:hAnsi="Liberation Serif" w:eastAsia="DejaVu Sans" w:cs="DejaVu Sans"/>
          <w:lang w:val="en-US" w:eastAsia="en-US" w:bidi="en-US"/>
        </w:rPr>
        <w:t>Instrução Normativa nº 05/2017</w:t>
      </w:r>
      <w:r>
        <w:rPr>
          <w:rFonts w:ascii="Liberation Serif" w:hAnsi="Liberation Serif" w:eastAsia="DejaVu Sans" w:cs="DejaVu Sans"/>
          <w:i/>
          <w:iCs/>
          <w:color w:val="000000"/>
          <w:lang w:val="en-US" w:eastAsia="en-US" w:bidi="en-US"/>
        </w:rPr>
        <w:t xml:space="preserve"> e que foi elaborado conforme as diretrizes para a construção de um novo modelo de contratação de prestação de serviço estabelecidas no Acórdão nº 786/2006 – Plenário. Neste sentido, Anexo I da referida instrução normativa definiu “INSTRUMENTO DE MEDIÇÃO DE RESULTADO (IMR): mecanismo que define, em bases compreensíveis, tangíveis, objetivamente observáveis e comprováveis, os níveis esperados de qualidade da prestação do serviço e respectivas adequações de pagamento”.</w:t>
      </w:r>
    </w:p>
  </w:comment>
  <w:comment w:id="17"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A execução dos contratos deve ser acompanhada por meio de instrumentos de controle que permitam a mensuração de resultados e adequação do objeto prestado. Diante da falta de regulamentação à luz da Lei nº 14.133, de 2021, optou-se por adotar aqui as regras da </w:t>
      </w:r>
      <w:r>
        <w:rPr>
          <w:rFonts w:ascii="Liberation Serif" w:hAnsi="Liberation Serif" w:eastAsia="DejaVu Sans" w:cs="DejaVu Sans"/>
          <w:lang w:val="en-US" w:eastAsia="en-US" w:bidi="en-US"/>
        </w:rPr>
        <w:t>Instrução Normativa SEGES/MPDG nº 5, de 26 de maio de 2017</w:t>
      </w:r>
      <w:r>
        <w:rPr>
          <w:rFonts w:ascii="Liberation Serif" w:hAnsi="Liberation Serif" w:eastAsia="DejaVu Sans" w:cs="DejaVu Sans"/>
          <w:i/>
          <w:iCs/>
          <w:color w:val="000000"/>
          <w:lang w:val="en-US" w:eastAsia="en-US" w:bidi="en-US"/>
        </w:rPr>
        <w:t xml:space="preserve"> como referência de boas práticas. Estes instrumentos de controle, o Instrumento de Medição de Resultado (IMR) ou instrumento equivalente, foram idealizados, inicialmente, para contratos de prestação de serviços como mecanismo de monitoramento e mensuração da qualidade e pontualidade na prestação dos serviços e, consequentemente, como forma de adequar os valores devidos como pagamento aos índices de qualidade verificados. Contudo, para correta aplicação da regra insculpida acima, é necessário que o órgão estabeleça quais são os critérios de avaliação e os devidos parâmetros, de forma a se obter uma fórmula que permita quantificar o grau de satisfação na execução do objeto contratado, e, consequentemente, o montante devido em pagamento. Sem o devido estabelecimento dos critérios e parâmetros de avaliação dos itens previstos no artigo, a cláusula torna-se inexequível, absolutamente destituída de efeitos. Dessa forma, para que seja possível efetuar a glosa, é necessário definir, objetivamente, quais os parâmetros para mensuração do percentual do pagamento devido em razão dos níveis esperados de qualidade da prestação do serviço.</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Caso o órgão não tenha elaborado o IMR, deverá suprimir os trechos em itálico que fazem referência a ele.</w:t>
      </w:r>
    </w:p>
    <w:p>
      <w:r>
        <w:rPr>
          <w:rFonts w:ascii="Liberation Serif" w:hAnsi="Liberation Serif" w:eastAsia="DejaVu Sans" w:cs="DejaVu Sans"/>
          <w:b/>
          <w:bCs/>
          <w:i/>
          <w:iCs/>
          <w:color w:val="000000"/>
          <w:lang w:val="en-US" w:eastAsia="en-US" w:bidi="en-US"/>
        </w:rPr>
        <w:t>Nota Explicativa 3:</w:t>
      </w:r>
      <w:r>
        <w:rPr>
          <w:rFonts w:ascii="Liberation Serif" w:hAnsi="Liberation Serif" w:eastAsia="DejaVu Sans" w:cs="DejaVu Sans"/>
          <w:i/>
          <w:iCs/>
          <w:color w:val="000000"/>
          <w:lang w:val="en-US" w:eastAsia="en-US" w:bidi="en-US"/>
        </w:rPr>
        <w:t xml:space="preserve"> Para que seja possível efetuar a glosa, é necessário definir, objetivamente, no IMR ou instrumento equivalente, quais os parâmetros para mensuração do percentual do pagamento devido em razão dos níveis esperados de qualidade da prestação do serviço.</w:t>
      </w:r>
    </w:p>
  </w:comment>
  <w:comment w:id="1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subitem 2.6, alínea “d” do Anexo V da </w:t>
      </w:r>
      <w:r>
        <w:rPr>
          <w:rFonts w:ascii="Liberation Serif" w:hAnsi="Liberation Serif" w:eastAsia="DejaVu Sans" w:cs="DejaVu Sans"/>
          <w:lang w:val="en-US" w:eastAsia="en-US" w:bidi="en-US"/>
        </w:rPr>
        <w:t>Instrução Normativa SEGES/MPDG nº 5, de 26 de maio de 2017</w:t>
      </w:r>
      <w:r>
        <w:rPr>
          <w:rFonts w:ascii="Liberation Serif" w:hAnsi="Liberation Serif" w:eastAsia="DejaVu Sans" w:cs="DejaVu Sans"/>
          <w:i/>
          <w:iCs/>
          <w:color w:val="000000"/>
          <w:lang w:val="en-US" w:eastAsia="en-US" w:bidi="en-US"/>
        </w:rPr>
        <w:t xml:space="preserve">, trata de critérios de medição e pagamento que podem ser considerados na formulação desse item. Diante da falta de regulamentação à luz da Lei nº 14.133, de 2021, optou-se por adotar aqui suas regras como referência de boas práticas, até que seja publicada a regulamentação atualizada sobre o tema. </w:t>
      </w:r>
    </w:p>
    <w:p>
      <w:r>
        <w:rPr>
          <w:rFonts w:ascii="Liberation Serif" w:hAnsi="Liberation Serif" w:eastAsia="DejaVu Sans" w:cs="DejaVu Sans"/>
          <w:i/>
          <w:iCs/>
          <w:color w:val="000000"/>
          <w:lang w:val="en-US" w:eastAsia="en-US" w:bidi="en-US"/>
        </w:rPr>
        <w:t xml:space="preserve">Questões a serem vistas são: </w:t>
      </w:r>
    </w:p>
    <w:p>
      <w:r>
        <w:rPr>
          <w:rFonts w:ascii="Liberation Serif" w:hAnsi="Liberation Serif" w:eastAsia="DejaVu Sans" w:cs="DejaVu Sans"/>
          <w:i/>
          <w:iCs/>
          <w:color w:val="000000"/>
          <w:lang w:val="en-US" w:eastAsia="en-US" w:bidi="en-US"/>
        </w:rPr>
        <w:t>a) unidade de medida para faturamento e mensuração do resultado;</w:t>
      </w:r>
    </w:p>
    <w:p>
      <w:r>
        <w:rPr>
          <w:rFonts w:ascii="Liberation Serif" w:hAnsi="Liberation Serif" w:eastAsia="DejaVu Sans" w:cs="DejaVu Sans"/>
          <w:i/>
          <w:iCs/>
          <w:color w:val="000000"/>
          <w:lang w:val="en-US" w:eastAsia="en-US" w:bidi="en-US"/>
        </w:rPr>
        <w:t>b) produtividade de referência ou critérios de qualidade para a execução contratual;</w:t>
      </w:r>
    </w:p>
    <w:p>
      <w:r>
        <w:rPr>
          <w:rFonts w:ascii="Liberation Serif" w:hAnsi="Liberation Serif" w:eastAsia="DejaVu Sans" w:cs="DejaVu Sans"/>
          <w:i/>
          <w:iCs/>
          <w:color w:val="000000"/>
          <w:lang w:val="en-US" w:eastAsia="en-US" w:bidi="en-US"/>
        </w:rPr>
        <w:t>c) indicadores mínimos de desempenho para aceitação do serviço ou eventual glosa.</w:t>
      </w:r>
    </w:p>
  </w:comment>
  <w:comment w:id="19"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Ao contrário da Lei nº 8.666/93, a Lei nº 14.133/21 não trouxe prazo máximo de recebimento provisório ou definitivo, e o </w:t>
      </w:r>
      <w:r>
        <w:rPr>
          <w:rFonts w:ascii="Liberation Serif" w:hAnsi="Liberation Serif" w:eastAsia="DejaVu Sans" w:cs="DejaVu Sans"/>
          <w:lang w:val="en-US" w:eastAsia="en-US" w:bidi="en-US"/>
        </w:rPr>
        <w:t>parágrafo único do art. 25 Decreto nº 11.246, de 2022</w:t>
      </w:r>
      <w:r>
        <w:rPr>
          <w:rFonts w:ascii="Liberation Serif" w:hAnsi="Liberation Serif" w:eastAsia="DejaVu Sans" w:cs="DejaVu Sans"/>
          <w:i/>
          <w:iCs/>
          <w:color w:val="000000"/>
          <w:lang w:val="en-US" w:eastAsia="en-US" w:bidi="en-US"/>
        </w:rPr>
        <w:t xml:space="preserve"> expressamente remete a regulamento (ainda não editado) ou ao contrato. Assim, necessário estabelecer o prazo julgado adequado. Dito isso, o tempo discorrido para todas as providências burocráticas até o efetivo pagamento é disposição de grande importância para o futuro contratado e um período muito alargado pode tornar a contratação desinteressante por ser muito onerosa financeiramente. Desse modo, recomenda-se que o prazo seja dimensionado para que corresponda ao período razoável à checagem necessária, sem que traga um ônus excessivo que venha a afastar potenciais interessados.</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 xml:space="preserve">O </w:t>
      </w:r>
      <w:r>
        <w:rPr>
          <w:rFonts w:ascii="Liberation Serif" w:hAnsi="Liberation Serif" w:eastAsia="DejaVu Sans" w:cs="DejaVu Sans"/>
          <w:lang w:val="en-US" w:eastAsia="en-US" w:bidi="en-US"/>
        </w:rPr>
        <w:t>art. 7º da Instrução Normativa nº 77/2022-Seges/ME</w:t>
      </w:r>
      <w:r>
        <w:rPr>
          <w:rFonts w:ascii="Liberation Serif" w:hAnsi="Liberation Serif" w:eastAsia="DejaVu Sans" w:cs="DejaVu Sans"/>
          <w:i/>
          <w:iCs/>
          <w:color w:val="000000"/>
          <w:lang w:val="en-US" w:eastAsia="en-US" w:bidi="en-US"/>
        </w:rPr>
        <w:t xml:space="preserve"> dispõe que o prazo de liquidação é limitado a dez dias úteis, “a contar do recebimento da nota fiscal ou instrumento de cobrança equivalente pela Administração”.</w:t>
      </w:r>
    </w:p>
    <w:p>
      <w:r>
        <w:rPr>
          <w:rFonts w:ascii="Liberation Serif" w:hAnsi="Liberation Serif" w:eastAsia="DejaVu Sans" w:cs="DejaVu Sans"/>
          <w:i/>
          <w:iCs/>
          <w:color w:val="000000"/>
          <w:lang w:val="en-US" w:eastAsia="en-US" w:bidi="en-US"/>
        </w:rPr>
        <w:t>No caso das aquisições, a Nota Fiscal acompanha o fornecimento do produto, razão pela qual os prazos de recebimento provisório e definitivo devem estar abrangidos no prazo de liquidação.</w:t>
      </w:r>
    </w:p>
    <w:p>
      <w:r>
        <w:rPr>
          <w:rFonts w:ascii="Liberation Serif" w:hAnsi="Liberation Serif" w:eastAsia="DejaVu Sans" w:cs="DejaVu Sans"/>
          <w:i/>
          <w:iCs/>
          <w:color w:val="000000"/>
          <w:lang w:val="en-US" w:eastAsia="en-US" w:bidi="en-US"/>
        </w:rPr>
        <w:t>Já nos serviços adota-se sistemática distinta, em que primeiro o contratado comunica a finalização do serviço ou de etapa deste, para que então a Administração efetue o recebimento provisório e definitivo e autorize a emissão da Nota Fiscal, nos valores já líquidos e certos. Isso evita os constantes cancelamentos de Notas Fiscais por diferenças de valores e o desatendimento de obrigações tributárias, notadamente quanto ao prazo de recolhimento.</w:t>
      </w:r>
    </w:p>
    <w:p>
      <w:r>
        <w:rPr>
          <w:rFonts w:ascii="Liberation Serif" w:hAnsi="Liberation Serif" w:eastAsia="DejaVu Sans" w:cs="DejaVu Sans"/>
          <w:i/>
          <w:iCs/>
          <w:color w:val="000000"/>
          <w:lang w:val="en-US" w:eastAsia="en-US" w:bidi="en-US"/>
        </w:rPr>
        <w:t>Deste modo, nos serviços o prazo de dez dias para a liquidação é contado após os prazos de recebimento provisório e definitivo, e não juntamente com esses.</w:t>
      </w:r>
    </w:p>
    <w:p>
      <w:r>
        <w:rPr>
          <w:rFonts w:ascii="Liberation Serif" w:hAnsi="Liberation Serif" w:eastAsia="DejaVu Sans" w:cs="DejaVu Sans"/>
          <w:i/>
          <w:iCs/>
          <w:color w:val="000000"/>
          <w:lang w:val="en-US" w:eastAsia="en-US" w:bidi="en-US"/>
        </w:rPr>
        <w:t xml:space="preserve">Em vista disso, reitera-se a importância de se prever prazos menores para essa etapa, com vistas a manter o negócio atrativo aos potenciais fornecedores. Prazos muito longos acabariam frustrando o objetivo preconizado no </w:t>
      </w:r>
      <w:r>
        <w:rPr>
          <w:rFonts w:ascii="Liberation Serif" w:hAnsi="Liberation Serif" w:eastAsia="DejaVu Sans" w:cs="DejaVu Sans"/>
          <w:lang w:val="en-US" w:eastAsia="en-US" w:bidi="en-US"/>
        </w:rPr>
        <w:t>art. 7º da Instrução Normativa nº 77/2022-Seges/ME</w:t>
      </w:r>
      <w:r>
        <w:rPr>
          <w:rFonts w:ascii="Liberation Serif" w:hAnsi="Liberation Serif" w:eastAsia="DejaVu Sans" w:cs="DejaVu Sans"/>
          <w:i/>
          <w:iCs/>
          <w:color w:val="000000"/>
          <w:lang w:val="en-US" w:eastAsia="en-US" w:bidi="en-US"/>
        </w:rPr>
        <w:t>.</w:t>
      </w:r>
    </w:p>
  </w:comment>
  <w:comment w:id="20"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Nos termos do art. 140, §4º, da Lei 14.133/21, salvo disposição em contrário constante do edital ou de ato normativo, os ensaios, os testes e as demais provas para aferição da boa execução do objeto do contrato exigidos por normas técnicas oficiais correrão por conta do contratado.</w:t>
      </w:r>
    </w:p>
  </w:comment>
  <w:comment w:id="2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Assim como ocorre com o prazo de recebimento provisório, a Lei nº 14.133/21 não trouxe prazo máximo de recebimento definitivo, de modo que possível a previsão de qualquer prazo julgado oportuno. Nesse ponto, reitere-se: recomenda-se que o prazo seja dimensionado para que corresponda ao período razoável à checagem necessária, sem que traga um ônus excessivo que venha a afastar potenciais interessados.</w:t>
      </w:r>
    </w:p>
  </w:comment>
  <w:comment w:id="22"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Deverá a Administração indicar o índice de preços a ser utilizado para a atualização monetária do valor devido ao contratado.</w:t>
      </w:r>
    </w:p>
  </w:comment>
  <w:comment w:id="2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2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w:t>
      </w:r>
      <w:r>
        <w:rPr>
          <w:rFonts w:ascii="Liberation Serif" w:hAnsi="Liberation Serif" w:eastAsia="DejaVu Sans" w:cs="DejaVu Sans"/>
          <w:lang w:val="en-US" w:eastAsia="en-US" w:bidi="en-US"/>
        </w:rPr>
        <w:t>IN SEGES/ME nº 53, de 2020</w:t>
      </w:r>
      <w:r>
        <w:rPr>
          <w:rFonts w:ascii="Liberation Serif" w:hAnsi="Liberation Serif" w:eastAsia="DejaVu Sans" w:cs="DejaVu Sans"/>
          <w:i/>
          <w:iCs/>
          <w:color w:val="000000"/>
          <w:lang w:val="en-US" w:eastAsia="en-US" w:bidi="en-US"/>
        </w:rPr>
        <w:t>, disciplinou uma modalidade específica de cessão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p>
    <w:p>
      <w:r>
        <w:rPr>
          <w:rFonts w:ascii="Liberation Serif" w:hAnsi="Liberation Serif" w:eastAsia="DejaVu Sans" w:cs="DejaVu Sans"/>
          <w:i/>
          <w:iCs/>
          <w:color w:val="000000"/>
          <w:lang w:val="en-US" w:eastAsia="en-US" w:bidi="en-U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w:t>
      </w:r>
    </w:p>
    <w:p>
      <w:r>
        <w:rPr>
          <w:rFonts w:ascii="Liberation Serif" w:hAnsi="Liberation Serif" w:eastAsia="DejaVu Sans" w:cs="DejaVu Sans"/>
          <w:i/>
          <w:iCs/>
          <w:color w:val="000000"/>
          <w:lang w:val="en-US" w:eastAsia="en-US" w:bidi="en-US"/>
        </w:rPr>
        <w:t>Já em relação às demais modalidades de cessão de crédito, não abrangidas pela IN SEGES/ME nº 53/2020, feitas com outros tipos de particulares,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w:t>
      </w:r>
      <w:r>
        <w:rPr>
          <w:rFonts w:ascii="Liberation Serif" w:hAnsi="Liberation Serif" w:eastAsia="DejaVu Sans" w:cs="DejaVu Sans"/>
          <w:lang w:val="en-US" w:eastAsia="en-US" w:bidi="en-US"/>
        </w:rPr>
        <w:t>arts. 40, §1º e 41 da Lei Complementar nº 73, de 1993</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 xml:space="preserve">Quanto a estas últimas, importa destacar a seguinte condicionante que foi erigida pelo referido </w:t>
      </w:r>
      <w:r>
        <w:rPr>
          <w:rFonts w:ascii="Liberation Serif" w:hAnsi="Liberation Serif" w:eastAsia="DejaVu Sans" w:cs="DejaVu Sans"/>
          <w:lang w:val="en-US" w:eastAsia="en-US" w:bidi="en-US"/>
        </w:rPr>
        <w:t>Parecer nº JL – 01/2020</w:t>
      </w:r>
      <w:r>
        <w:rPr>
          <w:rFonts w:ascii="Liberation Serif" w:hAnsi="Liberation Serif" w:eastAsia="DejaVu Sans" w:cs="DejaVu Sans"/>
          <w:i/>
          <w:iCs/>
          <w:color w:val="000000"/>
          <w:lang w:val="en-US" w:eastAsia="en-US" w:bidi="en-US"/>
        </w:rPr>
        <w:t xml:space="preserve">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r>
        <w:rPr>
          <w:rFonts w:ascii="Liberation Serif" w:hAnsi="Liberation Serif" w:eastAsia="DejaVu Sans" w:cs="DejaVu Sans"/>
          <w:i/>
          <w:iCs/>
          <w:color w:val="000000"/>
          <w:lang w:val="en-US" w:eastAsia="en-US" w:bidi="en-US"/>
        </w:rPr>
        <w:t>Para diferenciar uma da outra, orienta-se verificar a pessoa do cessionário, se instituição financeira ou não (no primeiro caso, tenderá a ser cessão fiduciária, portanto obrigatoriamente permitida) e se a destinação é garantir uma operação de crédito (também necessário para o enquadramento como fiduciária).</w:t>
      </w:r>
    </w:p>
  </w:comment>
  <w:comment w:id="2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caso do subitem 7.35.1, o órgão contratante pode optar por mudar a redação para já vedar de plano as cessões não fiduciárias. Entretanto, reitera-se que as cessões fiduciárias (subitem 7.35) devem permanecer permitidas, por força do </w:t>
      </w:r>
      <w:r>
        <w:rPr>
          <w:rFonts w:ascii="Liberation Serif" w:hAnsi="Liberation Serif" w:eastAsia="DejaVu Sans" w:cs="DejaVu Sans"/>
          <w:lang w:val="en-US" w:eastAsia="en-US" w:bidi="en-US"/>
        </w:rPr>
        <w:t>art. 15 da IN SEGES/ME nº 53/2020</w:t>
      </w:r>
      <w:r>
        <w:rPr>
          <w:rFonts w:ascii="Liberation Serif" w:hAnsi="Liberation Serif" w:eastAsia="DejaVu Sans" w:cs="DejaVu Sans"/>
          <w:i/>
          <w:iCs/>
          <w:color w:val="000000"/>
          <w:lang w:val="en-US" w:eastAsia="en-US" w:bidi="en-US"/>
        </w:rPr>
        <w:t>.</w:t>
      </w:r>
    </w:p>
  </w:comment>
  <w:comment w:id="2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Os condicionamentos dos subitens 7.38 e 7.39 decorrem das conclusões do Parecer JL-01, de 18 de maio de 2020.</w:t>
      </w:r>
    </w:p>
  </w:comment>
  <w:comment w:id="27" w:author="Autor" w:date="0-00-00T00:00:00Z" w:initials="A">
    <w:p>
      <w:r>
        <w:rPr>
          <w:rFonts w:ascii="Liberation Serif" w:hAnsi="Liberation Serif" w:eastAsia="DejaVu Sans" w:cs="DejaVu Sans"/>
          <w:b/>
          <w:bCs/>
          <w:i/>
          <w:iCs/>
          <w:color w:val="000000"/>
          <w:lang w:val="en-US" w:eastAsia="en-US" w:bidi="en-US"/>
        </w:rPr>
        <w:t xml:space="preserve">Nota Explicativa: </w:t>
      </w:r>
    </w:p>
    <w:p>
      <w:r>
        <w:rPr>
          <w:rFonts w:ascii="Liberation Serif" w:hAnsi="Liberation Serif" w:eastAsia="DejaVu Sans" w:cs="DejaVu Sans"/>
          <w:i/>
          <w:iCs/>
          <w:color w:val="000000"/>
          <w:lang w:val="en-US" w:eastAsia="en-US" w:bidi="en-US"/>
        </w:rPr>
        <w:t xml:space="preserve">É fundamental que a Administração observe que exigências demasiadas poderão prejudicar a competitividade da licitação e ofender a o disposto no </w:t>
      </w:r>
      <w:r>
        <w:rPr>
          <w:rFonts w:ascii="Liberation Serif" w:hAnsi="Liberation Serif" w:eastAsia="DejaVu Sans" w:cs="DejaVu Sans"/>
          <w:lang w:val="en-US" w:eastAsia="en-US" w:bidi="en-US"/>
        </w:rPr>
        <w:t>art. 37, inciso XXI da Constituição Federal</w:t>
      </w:r>
      <w:r>
        <w:rPr>
          <w:rFonts w:ascii="Liberation Serif" w:hAnsi="Liberation Serif" w:eastAsia="DejaVu Sans" w:cs="DejaVu Sans"/>
          <w:i/>
          <w:iCs/>
          <w:color w:val="000000"/>
          <w:lang w:val="en-US" w:eastAsia="en-US" w:bidi="en-US"/>
        </w:rPr>
        <w:t>, o qual preceitua que “o processo de licitação pública... somente permitirá as exigências de qualificação técnica e econômica indispensáveis à garantia do cumprimento das obrigações”.</w:t>
      </w:r>
    </w:p>
    <w:p>
      <w:r>
        <w:rPr>
          <w:rFonts w:ascii="Liberation Serif" w:hAnsi="Liberation Serif" w:eastAsia="DejaVu Sans" w:cs="DejaVu Sans"/>
          <w:i/>
          <w:iCs/>
          <w:color w:val="000000"/>
          <w:lang w:val="en-US" w:eastAsia="en-US" w:bidi="en-US"/>
        </w:rPr>
        <w:t xml:space="preserve">O </w:t>
      </w:r>
      <w:r>
        <w:rPr>
          <w:rFonts w:ascii="Liberation Serif" w:hAnsi="Liberation Serif" w:eastAsia="DejaVu Sans" w:cs="DejaVu Sans"/>
          <w:lang w:val="en-US" w:eastAsia="en-US" w:bidi="en-US"/>
        </w:rPr>
        <w:t>art. 70, III, da Lei Nº 14.133/2021</w:t>
      </w:r>
      <w:r>
        <w:rPr>
          <w:rFonts w:ascii="Liberation Serif" w:hAnsi="Liberation Serif" w:eastAsia="DejaVu Sans" w:cs="DejaVu Sans"/>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
        <w:rPr>
          <w:rFonts w:ascii="Liberation Serif" w:hAnsi="Liberation Serif" w:eastAsia="DejaVu Sans" w:cs="DejaVu Sans"/>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DejaVu Sans" w:cs="DejaVu Sans"/>
          <w:i/>
          <w:iCs/>
          <w:color w:val="000000"/>
          <w:lang w:val="en-US" w:eastAsia="en-US" w:bidi="en-US"/>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
        <w:rPr>
          <w:rFonts w:ascii="Liberation Serif" w:hAnsi="Liberation Serif" w:eastAsia="DejaVu Sans" w:cs="DejaVu Sans"/>
          <w:i/>
          <w:iCs/>
          <w:color w:val="000000"/>
          <w:lang w:val="en-US" w:eastAsia="en-US" w:bidi="en-US"/>
        </w:rPr>
        <w:t xml:space="preserve">É vedada a inclusão de requisitos que não tenham suporte nos </w:t>
      </w:r>
      <w:r>
        <w:rPr>
          <w:rFonts w:ascii="Liberation Serif" w:hAnsi="Liberation Serif" w:eastAsia="DejaVu Sans" w:cs="DejaVu Sans"/>
          <w:lang w:val="en-US" w:eastAsia="en-US" w:bidi="en-US"/>
        </w:rPr>
        <w:t>arts. 66 a 69 da Lei nº 14.133, de 2021.</w:t>
      </w:r>
    </w:p>
  </w:comment>
  <w:comment w:id="2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w:t>
      </w:r>
      <w:r>
        <w:rPr>
          <w:rFonts w:ascii="Liberation Serif" w:hAnsi="Liberation Serif" w:eastAsia="DejaVu Sans" w:cs="DejaVu Sans"/>
          <w:lang w:val="en-US" w:eastAsia="en-US" w:bidi="en-US"/>
        </w:rPr>
        <w:t>Instrução Normativa SEGES/ME nº 116, de 21 de dezembro de 2021</w:t>
      </w:r>
      <w:r>
        <w:rPr>
          <w:rFonts w:ascii="Liberation Serif" w:hAnsi="Liberation Serif" w:eastAsia="DejaVu Sans" w:cs="DejaVu Sans"/>
          <w:i/>
          <w:iCs/>
          <w:color w:val="000000"/>
          <w:lang w:val="en-US" w:eastAsia="en-US" w:bidi="en-US"/>
        </w:rPr>
        <w:t xml:space="preserve">, estabelece procedimentos para a participação de pessoa física nas contratações públicas regidas pela </w:t>
      </w:r>
      <w:r>
        <w:rPr>
          <w:rFonts w:ascii="Liberation Serif" w:hAnsi="Liberation Serif" w:eastAsia="DejaVu Sans" w:cs="DejaVu Sans"/>
          <w:lang w:val="en-US" w:eastAsia="en-US" w:bidi="en-US"/>
        </w:rPr>
        <w:t>Lei nº 14.133, de 2021</w:t>
      </w:r>
      <w:r>
        <w:rPr>
          <w:rFonts w:ascii="Liberation Serif" w:hAnsi="Liberation Serif" w:eastAsia="DejaVu Sans" w:cs="DejaVu Sans"/>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DejaVu Sans" w:cs="DejaVu Sans"/>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DejaVu Sans" w:cs="DejaVu Sans"/>
          <w:b/>
          <w:bCs/>
          <w:i/>
          <w:iCs/>
          <w:color w:val="000000"/>
          <w:lang w:val="en-US" w:eastAsia="en-US" w:bidi="en-US"/>
        </w:rPr>
        <w:t>capital social mínimo</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b/>
          <w:bCs/>
          <w:i/>
          <w:iCs/>
          <w:color w:val="000000"/>
          <w:lang w:val="en-US" w:eastAsia="en-US" w:bidi="en-US"/>
        </w:rPr>
        <w:t>estrutura mínima</w:t>
      </w:r>
      <w:r>
        <w:rPr>
          <w:rFonts w:ascii="Liberation Serif" w:hAnsi="Liberation Serif" w:eastAsia="DejaVu Sans" w:cs="DejaVu Sans"/>
          <w:i/>
          <w:iCs/>
          <w:color w:val="000000"/>
          <w:lang w:val="en-US" w:eastAsia="en-US" w:bidi="en-US"/>
        </w:rPr>
        <w:t xml:space="preserve">, com equipamentos, instalações e equipe de profissionais ou corpo técnico para a execução do objeto </w:t>
      </w:r>
      <w:r>
        <w:rPr>
          <w:rFonts w:ascii="Liberation Serif" w:hAnsi="Liberation Serif" w:eastAsia="DejaVu Sans" w:cs="DejaVu Sans"/>
          <w:b/>
          <w:bCs/>
          <w:i/>
          <w:iCs/>
          <w:color w:val="000000"/>
          <w:lang w:val="en-US" w:eastAsia="en-US" w:bidi="en-US"/>
        </w:rPr>
        <w:t>incompatíveis com a natureza profissional da pessoa física</w:t>
      </w:r>
      <w:r>
        <w:rPr>
          <w:rFonts w:ascii="Liberation Serif" w:hAnsi="Liberation Serif" w:eastAsia="DejaVu Sans" w:cs="DejaVu Sans"/>
          <w:i/>
          <w:iCs/>
          <w:color w:val="000000"/>
          <w:lang w:val="en-US" w:eastAsia="en-US" w:bidi="en-US"/>
        </w:rPr>
        <w:t xml:space="preserve">, conforme </w:t>
      </w:r>
      <w:r>
        <w:rPr>
          <w:rFonts w:ascii="Liberation Serif" w:hAnsi="Liberation Serif" w:eastAsia="DejaVu Sans" w:cs="DejaVu Sans"/>
          <w:b/>
          <w:bCs/>
          <w:i/>
          <w:iCs/>
          <w:color w:val="000000"/>
          <w:lang w:val="en-US" w:eastAsia="en-US" w:bidi="en-US"/>
        </w:rPr>
        <w:t>demonstrado em estudo técnico preliminar</w:t>
      </w:r>
      <w:r>
        <w:rPr>
          <w:rFonts w:ascii="Liberation Serif" w:hAnsi="Liberation Serif" w:eastAsia="DejaVu Sans"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DejaVu Sans" w:cs="DejaVu Sans"/>
          <w:i/>
          <w:iCs/>
          <w:color w:val="000000"/>
          <w:lang w:val="en-US" w:eastAsia="en-US" w:bidi="en-US"/>
        </w:rPr>
        <w:t xml:space="preserve">O </w:t>
      </w:r>
      <w:r>
        <w:rPr>
          <w:rFonts w:ascii="Liberation Serif" w:hAnsi="Liberation Serif" w:eastAsia="DejaVu Sans" w:cs="DejaVu Sans"/>
          <w:lang w:val="en-US" w:eastAsia="en-US" w:bidi="en-US"/>
        </w:rPr>
        <w:t>Decreto n.º 10.977, de 23 de fevereiro de 2022</w:t>
      </w:r>
      <w:r>
        <w:rPr>
          <w:rFonts w:ascii="Liberation Serif" w:hAnsi="Liberation Serif" w:eastAsia="DejaVu Sans" w:cs="DejaVu Sans"/>
          <w:i/>
          <w:iCs/>
          <w:color w:val="000000"/>
          <w:lang w:val="en-US" w:eastAsia="en-US" w:bidi="en-US"/>
        </w:rPr>
        <w:t xml:space="preserve">, que regulamenta a </w:t>
      </w:r>
      <w:r>
        <w:rPr>
          <w:rFonts w:ascii="Liberation Serif" w:hAnsi="Liberation Serif" w:eastAsia="DejaVu Sans" w:cs="DejaVu Sans"/>
          <w:lang w:val="en-US" w:eastAsia="en-US" w:bidi="en-US"/>
        </w:rPr>
        <w:t>Lei nº 7.116, de 29 de agosto de 1983</w:t>
      </w:r>
      <w:r>
        <w:rPr>
          <w:rFonts w:ascii="Liberation Serif" w:hAnsi="Liberation Serif" w:eastAsia="DejaVu Sans" w:cs="DejaVu Sans"/>
          <w:i/>
          <w:iCs/>
          <w:color w:val="000000"/>
          <w:lang w:val="en-US" w:eastAsia="en-US" w:bidi="en-US"/>
        </w:rPr>
        <w:t xml:space="preserve">, e a </w:t>
      </w:r>
      <w:r>
        <w:rPr>
          <w:rFonts w:ascii="Liberation Serif" w:hAnsi="Liberation Serif" w:eastAsia="DejaVu Sans" w:cs="DejaVu Sans"/>
          <w:lang w:val="en-US" w:eastAsia="en-US" w:bidi="en-US"/>
        </w:rPr>
        <w:t>Lei nº 9.454, de 7 de abril de 1997</w:t>
      </w:r>
      <w:r>
        <w:rPr>
          <w:rFonts w:ascii="Liberation Serif" w:hAnsi="Liberation Serif" w:eastAsia="DejaVu Sans" w:cs="DejaVu Sans"/>
          <w:i/>
          <w:iCs/>
          <w:color w:val="000000"/>
          <w:lang w:val="en-US" w:eastAsia="en-US" w:bidi="en-US"/>
        </w:rPr>
        <w:t>, estabelece, em seu art. 3º, que a Carteira de Identidade passa a adotar o número de inscrição no Cadastro de Pessoas Físicas - CPF como o número do registro geral nacional previsto no inciso IV do </w:t>
      </w:r>
      <w:r>
        <w:rPr>
          <w:rFonts w:ascii="Liberation Serif" w:hAnsi="Liberation Serif" w:eastAsia="DejaVu Sans" w:cs="DejaVu Sans"/>
          <w:b/>
          <w:bCs/>
          <w:i/>
          <w:iCs/>
          <w:color w:val="000000"/>
          <w:lang w:val="en-US" w:eastAsia="en-US" w:bidi="en-US"/>
        </w:rPr>
        <w:t>caput </w:t>
      </w:r>
      <w:r>
        <w:rPr>
          <w:rFonts w:ascii="Liberation Serif" w:hAnsi="Liberation Serif" w:eastAsia="DejaVu Sans" w:cs="DejaVu Sans"/>
          <w:i/>
          <w:iCs/>
          <w:color w:val="000000"/>
          <w:lang w:val="en-US" w:eastAsia="en-US" w:bidi="en-US"/>
        </w:rPr>
        <w:t>do seu art. 11.</w:t>
      </w:r>
    </w:p>
  </w:comment>
  <w:comment w:id="2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 41 da Lei nº 14.195, de 26 de agosto de 2021</w:t>
      </w:r>
      <w:r>
        <w:rPr>
          <w:rFonts w:ascii="Liberation Serif" w:hAnsi="Liberation Serif" w:eastAsia="DejaVu Sans" w:cs="DejaVu Sans"/>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r>
        <w:rPr>
          <w:rFonts w:ascii="Liberation Serif" w:hAnsi="Liberation Serif" w:eastAsia="DejaVu Sans" w:cs="DejaVu Sans"/>
          <w:i/>
          <w:iCs/>
          <w:color w:val="000000"/>
          <w:lang w:val="en-US" w:eastAsia="en-US" w:bidi="en-US"/>
        </w:rPr>
        <w:t xml:space="preserve">Posteriormente, o </w:t>
      </w:r>
      <w:r>
        <w:rPr>
          <w:rFonts w:ascii="Liberation Serif" w:hAnsi="Liberation Serif" w:eastAsia="DejaVu Sans" w:cs="DejaVu Sans"/>
          <w:lang w:val="en-US" w:eastAsia="en-US" w:bidi="en-US"/>
        </w:rPr>
        <w:t>inciso VI, alíneas “a” e “b”, art. 20, da Lei nº 14.382, de 27 de junho de 2022</w:t>
      </w:r>
      <w:r>
        <w:rPr>
          <w:rFonts w:ascii="Liberation Serif" w:hAnsi="Liberation Serif" w:eastAsia="DejaVu Sans" w:cs="DejaVu Sans"/>
          <w:i/>
          <w:iCs/>
          <w:color w:val="000000"/>
          <w:lang w:val="en-US" w:eastAsia="en-US" w:bidi="en-US"/>
        </w:rPr>
        <w:t>, revogou as disposições sobre EIRELI constantes do inciso VI do caput do art. 44 e do Título I-A do Livro II da Parte Especial do Código Civil (</w:t>
      </w:r>
      <w:r>
        <w:rPr>
          <w:rFonts w:ascii="Liberation Serif" w:hAnsi="Liberation Serif" w:eastAsia="DejaVu Sans" w:cs="DejaVu Sans"/>
          <w:lang w:val="en-US" w:eastAsia="en-US" w:bidi="en-US"/>
        </w:rPr>
        <w:t>Lei nº 10.406, de 10 de janeiro de 2002</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artigo 193 do Código Tributário Nacional (Lei nº 5.172, de 25 de outubro de 1966</w:t>
      </w:r>
      <w:r>
        <w:rPr>
          <w:rFonts w:ascii="Liberation Serif" w:hAnsi="Liberation Serif" w:eastAsia="DejaVu Sans" w:cs="DejaVu Sans"/>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o </w:t>
      </w:r>
      <w:r>
        <w:rPr>
          <w:rFonts w:ascii="Liberation Serif" w:hAnsi="Liberation Serif" w:eastAsia="DejaVu Sans" w:cs="DejaVu Sans"/>
          <w:lang w:val="en-US" w:eastAsia="en-US" w:bidi="en-US"/>
        </w:rPr>
        <w:t>art. 68, inciso II, da Lei n.º 14.133, de 2021</w:t>
      </w:r>
      <w:r>
        <w:rPr>
          <w:rFonts w:ascii="Liberation Serif" w:hAnsi="Liberation Serif" w:eastAsia="DejaVu Sans" w:cs="DejaVu Sans"/>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1" w:author="Autor" w:date="0-00-00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i/>
          <w:iCs/>
          <w:color w:val="000000"/>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32"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w:t>
      </w:r>
      <w:r>
        <w:rPr>
          <w:rFonts w:ascii="Liberation Serif" w:hAnsi="Liberation Serif" w:eastAsia="DejaVu Sans" w:cs="DejaVu Sans"/>
          <w:lang w:val="en-US" w:eastAsia="en-US" w:bidi="en-US"/>
        </w:rPr>
        <w:t>art. 70, III da Lei n.º 14.133, de 2021</w:t>
      </w:r>
      <w:r>
        <w:rPr>
          <w:rFonts w:ascii="Liberation Serif" w:hAnsi="Liberation Serif" w:eastAsia="DejaVu Sans" w:cs="DejaVu Sans"/>
          <w:i/>
          <w:iCs/>
          <w:color w:val="000000"/>
          <w:lang w:val="en-US" w:eastAsia="en-US" w:bidi="en-US"/>
        </w:rPr>
        <w:t xml:space="preserve">, deve ser excepcional e justificada, à luz do </w:t>
      </w:r>
      <w:r>
        <w:rPr>
          <w:rFonts w:ascii="Liberation Serif" w:hAnsi="Liberation Serif" w:eastAsia="DejaVu Sans" w:cs="DejaVu Sans"/>
          <w:lang w:val="en-US" w:eastAsia="en-US" w:bidi="en-US"/>
        </w:rPr>
        <w:t>art. 37, XXI, da Constituição Federal.</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É possível adotar critérios de habilitação econômico-financeira com requisitos diferenciados, estabelecidos conforme as peculiaridades do objeto a ser licitado, com justificativa do percentual adotado nos autos do procedimento licitatório.</w:t>
      </w:r>
    </w:p>
  </w:comment>
  <w:comment w:id="33"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r>
        <w:rPr>
          <w:rFonts w:ascii="Liberation Serif" w:hAnsi="Liberation Serif" w:eastAsia="DejaVu Sans" w:cs="DejaVu Sans"/>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3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b/>
          <w:bCs/>
          <w:color w:val="000000"/>
          <w:lang w:val="en-US" w:eastAsia="en-US" w:bidi="en-US"/>
        </w:rPr>
        <w:t xml:space="preserve"> </w:t>
      </w:r>
      <w:r>
        <w:rPr>
          <w:rFonts w:ascii="Liberation Serif" w:hAnsi="Liberation Serif" w:eastAsia="DejaVu Sans" w:cs="DejaVu Sans"/>
          <w:color w:val="000000"/>
          <w:lang w:val="en-US" w:eastAsia="en-US" w:bidi="en-US"/>
        </w:rPr>
        <w:t xml:space="preserve">A previsão do subitem 8.28 decorre do disposto no </w:t>
      </w:r>
      <w:r>
        <w:rPr>
          <w:rFonts w:ascii="Liberation Serif" w:hAnsi="Liberation Serif" w:eastAsia="DejaVu Sans" w:cs="DejaVu Sans"/>
          <w:lang w:val="en-US" w:eastAsia="en-US" w:bidi="en-US"/>
        </w:rPr>
        <w:t>art. 69, §1º da Lei nº 14.133, de 2021</w:t>
      </w:r>
      <w:r>
        <w:rPr>
          <w:rFonts w:ascii="Liberation Serif" w:hAnsi="Liberation Serif" w:eastAsia="DejaVu Sans" w:cs="DejaVu Sans"/>
          <w:color w:val="000000"/>
          <w:lang w:val="en-US" w:eastAsia="en-US" w:bidi="en-US"/>
        </w:rPr>
        <w:t>, podendo a Administração optar por tal disposição, desde que justificadamente.</w:t>
      </w:r>
    </w:p>
  </w:comment>
  <w:comment w:id="3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comment>
  <w:comment w:id="3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Eventuais requisitos de qualificação técnica previstos em lei específica e que incidam sobre a atividade objeto da contratação, deverão ser indicados no item 8.30.5, com fundamento no </w:t>
      </w:r>
      <w:r>
        <w:rPr>
          <w:rFonts w:ascii="Liberation Serif" w:hAnsi="Liberation Serif" w:eastAsia="DejaVu Sans" w:cs="DejaVu Sans"/>
          <w:lang w:val="en-US" w:eastAsia="en-US" w:bidi="en-US"/>
        </w:rPr>
        <w:t>art. 67, inciso IV, da Lei nº 14.133, de 2021</w:t>
      </w:r>
      <w:r>
        <w:rPr>
          <w:rFonts w:ascii="Liberation Serif" w:hAnsi="Liberation Serif" w:eastAsia="DejaVu Sans" w:cs="DejaVu Sans"/>
          <w:i/>
          <w:iCs/>
          <w:color w:val="000000"/>
          <w:lang w:val="en-US" w:eastAsia="en-US" w:bidi="en-US"/>
        </w:rPr>
        <w:t xml:space="preserve">. Cita-se, exemplificativamente, a exigência, dentre os documentos de habilitação técnica, da chamada Autorização Especial, emitida pela Agência Nacional de Vigilância Sanitária – Anvisa, nas contratações para aquisição de medicamentos sujeitos a controle especial, com base na </w:t>
      </w:r>
      <w:r>
        <w:rPr>
          <w:rFonts w:ascii="Liberation Serif" w:hAnsi="Liberation Serif" w:eastAsia="DejaVu Sans" w:cs="DejaVu Sans"/>
          <w:lang w:val="en-US" w:eastAsia="en-US" w:bidi="en-US"/>
        </w:rPr>
        <w:t>Lei n.º 6.360, de 23 de setembro de 1976</w:t>
      </w:r>
      <w:r>
        <w:rPr>
          <w:rFonts w:ascii="Liberation Serif" w:hAnsi="Liberation Serif" w:eastAsia="DejaVu Sans" w:cs="DejaVu Sans"/>
          <w:i/>
          <w:iCs/>
          <w:color w:val="000000"/>
          <w:lang w:val="en-US" w:eastAsia="en-US" w:bidi="en-US"/>
        </w:rPr>
        <w:t>, e na Resolução da Diretoria Colegiada da RDC/Anvisa nº 16, de 1º de abril de 2014.</w:t>
      </w:r>
    </w:p>
  </w:comment>
  <w:comment w:id="37" w:author="Autor" w:date="0-00-00T00:00:00Z" w:initials="A">
    <w:p>
      <w:r>
        <w:rPr>
          <w:rFonts w:ascii="Liberation Serif" w:hAnsi="Liberation Serif" w:eastAsia="DejaVu Sans" w:cs="DejaVu Sans"/>
          <w:b/>
          <w:bCs/>
          <w:i/>
          <w:iCs/>
          <w:color w:val="000000"/>
          <w:lang w:val="en-US" w:eastAsia="en-US" w:bidi="en-US"/>
        </w:rPr>
        <w:t>Nota Explicati</w:t>
      </w:r>
      <w:r>
        <w:rPr>
          <w:rFonts w:ascii="Liberation Serif" w:hAnsi="Liberation Serif" w:eastAsia="DejaVu Sans" w:cs="DejaVu Sans"/>
          <w:i/>
          <w:iCs/>
          <w:color w:val="000000"/>
          <w:lang w:val="en-US" w:eastAsia="en-US" w:bidi="en-US"/>
        </w:rPr>
        <w:t xml:space="preserve">va: Em relação à pessoa física ou jurídica que se caracterize como “potencial subcontratado”, é possível a previsão de exigência de atestados específicos, situação na qual mais de um licitante poderá apresentar atestado relativo ao mesmo potencial subcontratado. Nesse sentido é o teor do </w:t>
      </w:r>
      <w:r>
        <w:rPr>
          <w:rFonts w:ascii="Liberation Serif" w:hAnsi="Liberation Serif" w:eastAsia="DejaVu Sans" w:cs="DejaVu Sans"/>
          <w:lang w:val="en-US" w:eastAsia="en-US" w:bidi="en-US"/>
        </w:rPr>
        <w:t>§ 9º do art. 67 da Lei nº 14.133, de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8"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u w:val="single"/>
          <w:lang w:val="en-US" w:eastAsia="en-US" w:bidi="en-US"/>
        </w:rPr>
        <w:t xml:space="preserve">Pesquisa de Preços - </w:t>
      </w:r>
      <w:r>
        <w:rPr>
          <w:rFonts w:ascii="Liberation Serif" w:hAnsi="Liberation Serif" w:eastAsia="DejaVu Sans" w:cs="DejaVu Sans"/>
          <w:i/>
          <w:iCs/>
          <w:color w:val="000000"/>
          <w:lang w:val="en-US" w:eastAsia="en-US" w:bidi="en-US"/>
        </w:rPr>
        <w:t xml:space="preserve">A estimativa de preços deve ser precedida de regular pesquisa, nos moldes do </w:t>
      </w:r>
      <w:r>
        <w:rPr>
          <w:rFonts w:ascii="Liberation Serif" w:hAnsi="Liberation Serif" w:eastAsia="DejaVu Sans" w:cs="DejaVu Sans"/>
          <w:lang w:val="en-US" w:eastAsia="en-US" w:bidi="en-US"/>
        </w:rPr>
        <w:t>art. 23 da Lei nº 14.133, de 2021</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lang w:val="en-US" w:eastAsia="en-US" w:bidi="en-US"/>
        </w:rPr>
        <w:t>da Instrução Normativa SEGES/ME nº 65, de 7 de julho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DejaVu Sans" w:cs="DejaVu Sans"/>
          <w:i/>
          <w:iCs/>
          <w:color w:val="FF0000"/>
          <w:lang w:val="en-US" w:eastAsia="en-US" w:bidi="en-US"/>
        </w:rPr>
        <w:t xml:space="preserve"> </w:t>
      </w:r>
      <w:r>
        <w:rPr>
          <w:rFonts w:ascii="Liberation Serif" w:hAnsi="Liberation Serif" w:eastAsia="DejaVu Sans" w:cs="DejaVu Sans"/>
          <w:i/>
          <w:iCs/>
          <w:lang w:val="en-US" w:eastAsia="en-US" w:bidi="en-US"/>
        </w:rPr>
        <w:t xml:space="preserve">nos termos do </w:t>
      </w:r>
      <w:r>
        <w:rPr>
          <w:rFonts w:ascii="Liberation Serif" w:hAnsi="Liberation Serif" w:eastAsia="DejaVu Sans" w:cs="DejaVu Sans"/>
          <w:lang w:val="en-US" w:eastAsia="en-US" w:bidi="en-US"/>
        </w:rPr>
        <w:t>art. 9º, IX, da Instrução Normativa Seges/ME nº 81, de 2022</w:t>
      </w:r>
      <w:r>
        <w:rPr>
          <w:rFonts w:ascii="Liberation Serif" w:hAnsi="Liberation Serif" w:eastAsia="DejaVu Sans" w:cs="DejaVu Sans"/>
          <w:i/>
          <w:iCs/>
          <w:lang w:val="en-US" w:eastAsia="en-US" w:bidi="en-US"/>
        </w:rPr>
        <w:t xml:space="preserve">. Caso a Administração opte por preservar o sigilo da estimativa do valor da contratação, também deverá ser preservado o sigilo desse anexo. </w:t>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Utilizar a redação o item 9.1 na hipótese de licitação em que for adotado o critério de julgamento por menor preço, sem caráter sigiloso.</w:t>
      </w:r>
    </w:p>
  </w:comment>
  <w:comment w:id="39"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Utilizar a redação do item 9.3 na hipótese em que for adotado o critério de julgamento por menor preço e caso a Administração opte por preservar a sua estimativa do valor da contratação. Na hipótese de licitação em que for adotado o critério de julgamento por maior desconto, o preço estimado ou o máximo aceitável </w:t>
      </w:r>
      <w:r>
        <w:rPr>
          <w:rFonts w:ascii="Liberation Serif" w:hAnsi="Liberation Serif" w:eastAsia="DejaVu Sans" w:cs="DejaVu Sans"/>
          <w:b/>
          <w:bCs/>
          <w:i/>
          <w:iCs/>
          <w:color w:val="000000"/>
          <w:u w:val="single"/>
          <w:lang w:val="en-US" w:eastAsia="en-US" w:bidi="en-US"/>
        </w:rPr>
        <w:t>não</w:t>
      </w:r>
      <w:r>
        <w:rPr>
          <w:rFonts w:ascii="Liberation Serif" w:hAnsi="Liberation Serif" w:eastAsia="DejaVu Sans" w:cs="DejaVu Sans"/>
          <w:i/>
          <w:iCs/>
          <w:color w:val="000000"/>
          <w:lang w:val="en-US" w:eastAsia="en-US" w:bidi="en-US"/>
        </w:rPr>
        <w:t xml:space="preserve"> poderá ser sigiloso (</w:t>
      </w:r>
      <w:r>
        <w:rPr>
          <w:rFonts w:ascii="Liberation Serif" w:hAnsi="Liberation Serif" w:eastAsia="DejaVu Sans" w:cs="DejaVu Sans"/>
          <w:lang w:val="en-US" w:eastAsia="en-US" w:bidi="en-US"/>
        </w:rPr>
        <w:t>art. 24, parágrafo único, da Lei nº 14.133, de 2021</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lang w:val="en-US" w:eastAsia="en-US" w:bidi="en-US"/>
        </w:rPr>
        <w:t>Instrução Normativa Seges/ME nº 73, de 2022, art. 12, §3º</w:t>
      </w:r>
      <w:r>
        <w:rPr>
          <w:rFonts w:ascii="Liberation Serif" w:hAnsi="Liberation Serif" w:eastAsia="DejaVu Sans" w:cs="DejaVu Sans"/>
          <w:i/>
          <w:iCs/>
          <w:color w:val="000000"/>
          <w:lang w:val="en-US" w:eastAsia="en-US" w:bidi="en-US"/>
        </w:rPr>
        <w:t>)</w:t>
      </w:r>
    </w:p>
  </w:comment>
  <w:comment w:id="40"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Em caso de utilização de matriz de alocação de risco, o custo estimado da contratação deve levar em consideração o conjunto de riscos alocados ao contratado, o que naturalmente implicará elevação no custo da contratação (cf. </w:t>
      </w:r>
      <w:r>
        <w:rPr>
          <w:rFonts w:ascii="Liberation Serif" w:hAnsi="Liberation Serif" w:eastAsia="DejaVu Sans" w:cs="DejaVu Sans"/>
          <w:lang w:val="en-US" w:eastAsia="en-US" w:bidi="en-US"/>
        </w:rPr>
        <w:t>art. 22, caput, e art. 103, §3º, ambos da Lei n. 14.133, de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u w:val="single"/>
          <w:lang w:val="en-US" w:eastAsia="en-US" w:bidi="en-US"/>
        </w:rPr>
        <w:t>Serviços de Grande Vulto.</w:t>
      </w:r>
      <w:r>
        <w:rPr>
          <w:rFonts w:ascii="Liberation Serif" w:hAnsi="Liberation Serif" w:eastAsia="DejaVu Sans" w:cs="DejaVu Sans"/>
          <w:b/>
          <w:bCs/>
          <w:i/>
          <w:iCs/>
          <w:color w:val="000000"/>
          <w:lang w:val="en-US" w:eastAsia="en-US" w:bidi="en-US"/>
        </w:rPr>
        <w:t xml:space="preserve"> </w:t>
      </w:r>
      <w:r>
        <w:rPr>
          <w:rFonts w:ascii="Liberation Serif" w:hAnsi="Liberation Serif" w:eastAsia="DejaVu Sans" w:cs="DejaVu Sans"/>
          <w:i/>
          <w:iCs/>
          <w:color w:val="000000"/>
          <w:lang w:val="en-US" w:eastAsia="en-US" w:bidi="en-US"/>
        </w:rPr>
        <w:t xml:space="preserve">No caso de serviço cujo valor estimado supere R$ 216.081.640,00 (conforme </w:t>
      </w:r>
      <w:r>
        <w:rPr>
          <w:rFonts w:ascii="Liberation Serif" w:hAnsi="Liberation Serif" w:eastAsia="DejaVu Sans" w:cs="DejaVu Sans"/>
          <w:lang w:val="en-US" w:eastAsia="en-US" w:bidi="en-US"/>
        </w:rPr>
        <w:t>art. 6º, inciso XXII, da Lei nº 14.133, de 2021</w:t>
      </w:r>
      <w:r>
        <w:rPr>
          <w:rFonts w:ascii="Liberation Serif" w:hAnsi="Liberation Serif" w:eastAsia="DejaVu Sans" w:cs="DejaVu Sans"/>
          <w:i/>
          <w:iCs/>
          <w:color w:val="000000"/>
          <w:lang w:val="en-US" w:eastAsia="en-US" w:bidi="en-US"/>
        </w:rPr>
        <w:t xml:space="preserve">, atualizado pelo </w:t>
      </w:r>
      <w:r>
        <w:rPr>
          <w:rFonts w:ascii="Liberation Serif" w:hAnsi="Liberation Serif" w:eastAsia="DejaVu Sans" w:cs="DejaVu Sans"/>
          <w:lang w:val="en-US" w:eastAsia="en-US" w:bidi="en-US"/>
        </w:rPr>
        <w:t>Decreto nº 10.922, de 30 de dezembro de 2021</w:t>
      </w:r>
      <w:r>
        <w:rPr>
          <w:rFonts w:ascii="Liberation Serif" w:hAnsi="Liberation Serif" w:eastAsia="DejaVu Sans" w:cs="DejaVu Sans"/>
          <w:i/>
          <w:iCs/>
          <w:color w:val="000000"/>
          <w:lang w:val="en-US" w:eastAsia="en-US" w:bidi="en-US"/>
        </w:rPr>
        <w:t>), será obrigatória a inclusão de disposição no Termo de Referência indicando os termos da Matriz de Risco a ser aposta no edital ou no contrato, conforme art. 22, §3º, da Lei nº 14.133, de 2021.</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rlito">
    <w:altName w:val="Calibri"/>
    <w:charset w:val="00"/>
    <w:family w:val="roman"/>
    <w:pitch w:val="variable"/>
  </w:font>
  <w:font w:name="CALIBRI">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5551841"/>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18</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18</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dezembro/2022</w:t>
        </w:r>
      </w:p>
      <w:p>
        <w:pPr>
          <w:pStyle w:val="Rodap"/>
          <w:rPr>
            <w:rFonts w:ascii="Arial" w:hAnsi="Arial" w:cs="Arial"/>
            <w:color w:val="0F243E" w:themeColor="text2" w:themeShade="80"/>
            <w:sz w:val="14"/>
            <w:szCs w:val="14"/>
          </w:rPr>
        </w:pPr>
        <w:r>
          <w:rPr>
            <w:rFonts w:cs="Arial" w:ascii="Arial" w:hAnsi="Arial"/>
            <w:sz w:val="14"/>
            <w:szCs w:val="14"/>
          </w:rPr>
          <w:t>Termo de Referência contratação de Serviços – Licitação - Modelo para Pregão Eletrônico</w:t>
          <w:tab/>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2"/>
            <w:szCs w:val="12"/>
          </w:rPr>
        </w:pPr>
        <w:r>
          <w:rPr>
            <w:rFonts w:cs="Arial" w:ascii="Arial" w:hAnsi="Arial"/>
            <w:sz w:val="14"/>
            <w:szCs w:val="14"/>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ascii="Rawline" w:hAnsi="Rawline"/>
        <w:sz w:val="20"/>
        <w:szCs w:val="20"/>
      </w:rPr>
      <w:t>TERMO DE REFERÊNCIA – SERVIÇOS SEM DEDICAÇÃO EXCLUSIVA DE MÃO-DE-OBRA - LICITAÇÃO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lvl w:ilvl="0">
      <w:start w:val="1"/>
      <w:numFmt w:val="none"/>
      <w:suff w:val="nothing"/>
      <w:lvlText w:val=""/>
      <w:lvlJc w:val="left"/>
      <w:pPr>
        <w:ind w:left="720" w:hanging="0"/>
      </w:pPr>
    </w:lvl>
    <w:lvl w:ilvl="1">
      <w:start w:val="1"/>
      <w:numFmt w:val="none"/>
      <w:suff w:val="nothing"/>
      <w:lvlText w:val=""/>
      <w:lvlJc w:val="left"/>
      <w:pPr>
        <w:ind w:left="720" w:hanging="0"/>
      </w:pPr>
    </w:lvl>
    <w:lvl w:ilvl="2">
      <w:start w:val="1"/>
      <w:numFmt w:val="none"/>
      <w:suff w:val="nothing"/>
      <w:lvlText w:val=""/>
      <w:lvlJc w:val="left"/>
      <w:pPr>
        <w:ind w:left="720" w:hanging="0"/>
      </w:pPr>
    </w:lvl>
    <w:lvl w:ilvl="3">
      <w:start w:val="1"/>
      <w:numFmt w:val="none"/>
      <w:suff w:val="nothing"/>
      <w:lvlText w:val=""/>
      <w:lvlJc w:val="left"/>
      <w:pPr>
        <w:ind w:left="720" w:hanging="0"/>
      </w:pPr>
    </w:lvl>
    <w:lvl w:ilvl="4">
      <w:start w:val="1"/>
      <w:numFmt w:val="none"/>
      <w:suff w:val="nothing"/>
      <w:lvlText w:val=""/>
      <w:lvlJc w:val="left"/>
      <w:pPr>
        <w:ind w:left="720" w:hanging="0"/>
      </w:pPr>
    </w:lvl>
    <w:lvl w:ilvl="5">
      <w:start w:val="1"/>
      <w:numFmt w:val="none"/>
      <w:suff w:val="nothing"/>
      <w:lvlText w:val=""/>
      <w:lvlJc w:val="left"/>
      <w:pPr>
        <w:ind w:left="720" w:hanging="0"/>
      </w:pPr>
    </w:lvl>
    <w:lvl w:ilvl="6">
      <w:start w:val="1"/>
      <w:numFmt w:val="none"/>
      <w:suff w:val="nothing"/>
      <w:lvlText w:val=""/>
      <w:lvlJc w:val="left"/>
      <w:pPr>
        <w:ind w:left="720" w:hanging="0"/>
      </w:pPr>
    </w:lvl>
    <w:lvl w:ilvl="7">
      <w:start w:val="1"/>
      <w:numFmt w:val="none"/>
      <w:suff w:val="nothing"/>
      <w:lvlText w:val=""/>
      <w:lvlJc w:val="left"/>
      <w:pPr>
        <w:ind w:left="720" w:hanging="0"/>
      </w:pPr>
    </w:lvl>
    <w:lvl w:ilvl="8">
      <w:start w:val="1"/>
      <w:numFmt w:val="none"/>
      <w:suff w:val="nothing"/>
      <w:lvlText w:val=""/>
      <w:lvlJc w:val="left"/>
      <w:pPr>
        <w:ind w:left="720" w:hanging="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UnresolvedMention">
    <w:name w:val="Unresolved Mention"/>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Smbolosdenumerao">
    <w:name w:val="Símbolos de numeração"/>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ONormal">
    <w:name w:val="LO-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gov.br/compras/pt-br/acesso-a-informacao/legislacao/instrucoes-normativas/instrucao-normativa-seges-me-no-77-de-4-de-novembro-de-2022" TargetMode="External"/><Relationship Id="rId4" Type="http://schemas.openxmlformats.org/officeDocument/2006/relationships/hyperlink" Target="https://www.gov.br/compras/pt-br/acesso-a-informacao/legislacao/instrucoes-normativas/instrucao-normativa-seges-me-no-77-de-4-de-novembro-de-2022" TargetMode="External"/><Relationship Id="rId5" Type="http://schemas.openxmlformats.org/officeDocument/2006/relationships/hyperlink" Target="http://www.planalto.gov.br/ccivil_03/Leis/LCP/Lcp123.htm" TargetMode="External"/><Relationship Id="rId6" Type="http://schemas.openxmlformats.org/officeDocument/2006/relationships/hyperlink" Target="https://www.gov.br/compras/pt-br/acesso-a-informacao/legislacao/instrucoes-normativas/instrucao-normativa-no-53-de-8-de-julho-de-2020" TargetMode="External"/><Relationship Id="rId7" Type="http://schemas.openxmlformats.org/officeDocument/2006/relationships/hyperlink" Target="http://www.planalto.gov.br/ccivil_03/AGU/Pareceres/2019-2022/PRC-JL-01-2020.htm" TargetMode="External"/><Relationship Id="rId8" Type="http://schemas.openxmlformats.org/officeDocument/2006/relationships/hyperlink" Target="https://www.gov.br/empresas-e-negocios/pt-br/empreendedor" TargetMode="External"/><Relationship Id="rId9"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normas.receita.fazenda.gov.br/sijut2consulta/link.action?visao=anotado&amp;idAto=56753" TargetMode="External"/><Relationship Id="rId11" Type="http://schemas.openxmlformats.org/officeDocument/2006/relationships/hyperlink" Target="https://www.planalto.gov.br/ccivil_03/decreto-lei/del5452.htm" TargetMode="External"/><Relationship Id="rId12" Type="http://schemas.openxmlformats.org/officeDocument/2006/relationships/hyperlink" Target="http://www.planalto.gov.br/ccivil_03/Leis/LCP/Lcp123.htm" TargetMode="External"/><Relationship Id="rId13" Type="http://schemas.openxmlformats.org/officeDocument/2006/relationships/hyperlink" Target="https://www.gov.br/compras/pt-br/acesso-a-informacao/legislacao/instrucoes-normativas/instrucao-normativa-seges-me-no-116-de-21-de-dezembro-de-2021" TargetMode="External"/><Relationship Id="rId14" Type="http://schemas.openxmlformats.org/officeDocument/2006/relationships/hyperlink" Target="https://www.planalto.gov.br/ccivil_03/leis/l5764.htm"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comments" Target="comment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A5F6D92C-2B46-4B64-BBEA-46060CCABB6B}">
  <ds:schemaRefs>
    <ds:schemaRef ds:uri="http://schemas.microsoft.com/sharepoint/v3/contenttype/forms"/>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45FAD716-ACA8-43A1-AD3C-956EAA73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0DDEF-1E03-4563-9AD6-2ED817A34216}">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325</TotalTime>
  <Application>LibreOffice/6.3.5.2$Windows_X86_64 LibreOffice_project/dd0751754f11728f69b42ee2af66670068624673</Application>
  <Pages>18</Pages>
  <Words>6799</Words>
  <Characters>38514</Characters>
  <CharactersWithSpaces>45250</CharactersWithSpaces>
  <Paragraphs>399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2022-12-21T19:20:00Z</dcterms:created>
  <dc:creator/>
  <dc:description/>
  <dc:language>pt-BR</dc:language>
  <cp:lastModifiedBy/>
  <dcterms:modified xsi:type="dcterms:W3CDTF">2023-07-21T14:12:01Z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